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E45" w:rsidRPr="006E1CD2" w:rsidRDefault="00242E45" w:rsidP="00B433AB">
      <w:pPr>
        <w:bidi/>
        <w:jc w:val="both"/>
        <w:rPr>
          <w:rFonts w:asciiTheme="minorBidi" w:hAnsiTheme="minorBidi" w:cstheme="minorBidi"/>
          <w:sz w:val="28"/>
          <w:szCs w:val="28"/>
        </w:rPr>
      </w:pPr>
      <w:bookmarkStart w:id="0" w:name="_GoBack"/>
      <w:bookmarkEnd w:id="0"/>
    </w:p>
    <w:p w:rsidR="00450CBA" w:rsidRPr="007861EE" w:rsidRDefault="00450CBA" w:rsidP="00450CBA">
      <w:pPr>
        <w:pStyle w:val="NormalWeb"/>
        <w:bidi/>
        <w:rPr>
          <w:rFonts w:asciiTheme="minorBidi" w:hAnsiTheme="minorBidi" w:cstheme="minorBidi"/>
          <w:color w:val="000000"/>
          <w:sz w:val="28"/>
          <w:szCs w:val="28"/>
        </w:rPr>
      </w:pPr>
      <w:r w:rsidRPr="007861EE">
        <w:rPr>
          <w:rFonts w:asciiTheme="minorBidi" w:hAnsiTheme="minorBidi" w:cstheme="minorBidi"/>
          <w:color w:val="000000"/>
          <w:sz w:val="28"/>
          <w:szCs w:val="28"/>
          <w:rtl/>
        </w:rPr>
        <w:t>اللجنة الفرعية لمنع التعذيب وغيره من ضروب المعاملة أو العقوبة القاسية أو اللا إنسانية أو المهينة</w:t>
      </w:r>
    </w:p>
    <w:p w:rsidR="00B27017" w:rsidRDefault="00450CBA" w:rsidP="00450CBA">
      <w:pPr>
        <w:pStyle w:val="NormalWeb"/>
        <w:bidi/>
        <w:rPr>
          <w:rFonts w:asciiTheme="minorBidi" w:hAnsiTheme="minorBidi" w:cstheme="minorBidi"/>
          <w:color w:val="000000"/>
          <w:sz w:val="28"/>
          <w:szCs w:val="28"/>
        </w:rPr>
      </w:pPr>
      <w:r w:rsidRPr="007861EE">
        <w:rPr>
          <w:rFonts w:asciiTheme="minorBidi" w:hAnsiTheme="minorBidi" w:cstheme="minorBidi"/>
          <w:color w:val="000000"/>
          <w:sz w:val="28"/>
          <w:szCs w:val="28"/>
          <w:rtl/>
        </w:rPr>
        <w:t>زيارة دولة فلسطين التي تمت في ا</w:t>
      </w:r>
      <w:r w:rsidR="00B27017">
        <w:rPr>
          <w:rFonts w:asciiTheme="minorBidi" w:hAnsiTheme="minorBidi" w:cstheme="minorBidi"/>
          <w:color w:val="000000"/>
          <w:sz w:val="28"/>
          <w:szCs w:val="28"/>
          <w:rtl/>
        </w:rPr>
        <w:t>لفترة من 10 إلى 21 سبتمبر 2023</w:t>
      </w:r>
      <w:r w:rsidR="00B27017">
        <w:rPr>
          <w:rFonts w:asciiTheme="minorBidi" w:hAnsiTheme="minorBidi" w:cstheme="minorBidi" w:hint="cs"/>
          <w:color w:val="000000"/>
          <w:sz w:val="28"/>
          <w:szCs w:val="28"/>
          <w:rtl/>
        </w:rPr>
        <w:t>.</w:t>
      </w:r>
    </w:p>
    <w:p w:rsidR="00450CBA" w:rsidRPr="007861EE" w:rsidRDefault="00450CBA" w:rsidP="00B27017">
      <w:pPr>
        <w:pStyle w:val="NormalWeb"/>
        <w:bidi/>
        <w:rPr>
          <w:rFonts w:asciiTheme="minorBidi" w:hAnsiTheme="minorBidi" w:cstheme="minorBidi"/>
          <w:color w:val="000000"/>
          <w:sz w:val="28"/>
          <w:szCs w:val="28"/>
        </w:rPr>
      </w:pPr>
      <w:r w:rsidRPr="007861EE">
        <w:rPr>
          <w:rFonts w:asciiTheme="minorBidi" w:hAnsiTheme="minorBidi" w:cstheme="minorBidi"/>
          <w:color w:val="000000"/>
          <w:sz w:val="28"/>
          <w:szCs w:val="28"/>
          <w:rtl/>
        </w:rPr>
        <w:t>ملاحظات وتوصيات موجهة إلى الدولة الطرف</w:t>
      </w:r>
    </w:p>
    <w:p w:rsidR="007861EE" w:rsidRPr="00B27017" w:rsidRDefault="007861EE" w:rsidP="007861EE">
      <w:pPr>
        <w:pStyle w:val="NormalWeb"/>
        <w:bidi/>
        <w:rPr>
          <w:rFonts w:asciiTheme="minorBidi" w:hAnsiTheme="minorBidi" w:cstheme="minorBidi"/>
          <w:color w:val="000000"/>
          <w:sz w:val="28"/>
          <w:szCs w:val="28"/>
          <w:rtl/>
        </w:rPr>
      </w:pPr>
    </w:p>
    <w:p w:rsidR="00E167CF" w:rsidRPr="007861EE" w:rsidRDefault="00450CBA" w:rsidP="007861EE">
      <w:pPr>
        <w:pStyle w:val="NormalWeb"/>
        <w:bidi/>
        <w:jc w:val="center"/>
        <w:rPr>
          <w:rFonts w:asciiTheme="minorBidi" w:hAnsiTheme="minorBidi" w:cstheme="minorBidi"/>
          <w:b/>
          <w:bCs/>
          <w:color w:val="000000"/>
          <w:sz w:val="44"/>
          <w:szCs w:val="44"/>
          <w:u w:val="single"/>
        </w:rPr>
      </w:pPr>
      <w:r w:rsidRPr="007861EE">
        <w:rPr>
          <w:rFonts w:asciiTheme="minorBidi" w:hAnsiTheme="minorBidi" w:cstheme="minorBidi"/>
          <w:b/>
          <w:bCs/>
          <w:color w:val="000000"/>
          <w:sz w:val="44"/>
          <w:szCs w:val="44"/>
          <w:u w:val="single"/>
          <w:rtl/>
        </w:rPr>
        <w:t>تقرير اللجنة الفرعية</w:t>
      </w:r>
    </w:p>
    <w:p w:rsidR="00E167CF" w:rsidRPr="006E1CD2" w:rsidRDefault="00E167CF" w:rsidP="00B433AB">
      <w:pPr>
        <w:bidi/>
        <w:jc w:val="both"/>
        <w:rPr>
          <w:rFonts w:asciiTheme="minorBidi" w:hAnsiTheme="minorBidi" w:cstheme="minorBidi"/>
          <w:sz w:val="28"/>
          <w:szCs w:val="28"/>
        </w:rPr>
      </w:pPr>
    </w:p>
    <w:p w:rsidR="00E167CF" w:rsidRPr="007861EE" w:rsidRDefault="00E167CF" w:rsidP="00B433AB">
      <w:pPr>
        <w:pStyle w:val="NormalWeb"/>
        <w:bidi/>
        <w:jc w:val="both"/>
        <w:rPr>
          <w:rFonts w:asciiTheme="minorBidi" w:hAnsiTheme="minorBidi" w:cstheme="minorBidi"/>
          <w:b/>
          <w:bCs/>
          <w:color w:val="000000"/>
          <w:sz w:val="48"/>
          <w:szCs w:val="48"/>
          <w:u w:val="single"/>
        </w:rPr>
      </w:pPr>
      <w:r w:rsidRPr="007861EE">
        <w:rPr>
          <w:rFonts w:asciiTheme="minorBidi" w:hAnsiTheme="minorBidi" w:cstheme="minorBidi"/>
          <w:b/>
          <w:bCs/>
          <w:color w:val="000000"/>
          <w:sz w:val="48"/>
          <w:szCs w:val="48"/>
          <w:u w:val="single"/>
          <w:rtl/>
        </w:rPr>
        <w:t>المقدمة</w:t>
      </w:r>
    </w:p>
    <w:p w:rsidR="00E167CF" w:rsidRPr="006E1CD2" w:rsidRDefault="00E167CF" w:rsidP="00B433AB">
      <w:pPr>
        <w:pStyle w:val="NormalWeb"/>
        <w:jc w:val="both"/>
        <w:rPr>
          <w:rFonts w:asciiTheme="minorBidi" w:hAnsiTheme="minorBidi" w:cstheme="minorBidi"/>
          <w:color w:val="000000"/>
          <w:sz w:val="28"/>
          <w:szCs w:val="28"/>
          <w:rtl/>
        </w:rPr>
      </w:pP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 وفقاً لتفويضها بموجب البروتوكول الاختياري لاتفاقية مناهضة التعذيب وغيره من ضروب المعاملة أو العقوبة القاسية أو اللاإنسانية أو المهينة، قامت اللجنة الفرعية لمنع التعذيب وغيره من ضروب المعاملة أو العقوبة القاسية أو اللاإنسانية أو المهينة بأول زيارة لها إلى دولة فلسطين في الفترة من 10 إلى 21 سبتمبر 2023.</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2. ضم وفد اللجنة الفرعية الأعضاء: دانييل فينك (رئيس الوفد)، كارمن كوماس-ماتا ميرا، حميدة دريدي، وعبدالله عونير. وقد دعم الوفد اثنان من موظفي حقوق الإنسان، وموظف أمن، ومترجمون من مكتب مفوض الأمم المتحدة السامي لحقوق الإنسان.</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3. انضمت دولة فلسطين إلى البروتوكول الاختياري في 29 ديسمبر 2017. ومع ذلك، لم تقم بإنشاء الآلية الوقائية الوطنية (</w:t>
      </w:r>
      <w:r w:rsidRPr="006E1CD2">
        <w:rPr>
          <w:rFonts w:asciiTheme="minorBidi" w:hAnsiTheme="minorBidi" w:cstheme="minorBidi"/>
          <w:color w:val="000000"/>
          <w:sz w:val="28"/>
          <w:szCs w:val="28"/>
        </w:rPr>
        <w:t>NPM</w:t>
      </w:r>
      <w:r w:rsidRPr="006E1CD2">
        <w:rPr>
          <w:rFonts w:asciiTheme="minorBidi" w:hAnsiTheme="minorBidi" w:cstheme="minorBidi"/>
          <w:color w:val="000000"/>
          <w:sz w:val="28"/>
          <w:szCs w:val="28"/>
          <w:rtl/>
        </w:rPr>
        <w:t>) ضمن الإطار الزمني المحدد، وتمت إضافتها إلى قائمة الدول التي تأخر التزامها بشكل كبير بالوفاء بالالتزامات المنصوص عليها.</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4. الأهداف الرئيسية للزيارة كانت:</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(أ) زيارة أماكن الحرمان من الحرية من أجل مساعدة الدولة الطرف في الوفاء بفعالية بالتزاماتها بموجب البروتوكول الاختياري لتعزيز حماية الأشخاص المحرومين من حريت</w:t>
      </w:r>
      <w:r w:rsidR="00265EF1" w:rsidRPr="006E1CD2">
        <w:rPr>
          <w:rFonts w:asciiTheme="minorBidi" w:hAnsiTheme="minorBidi" w:cstheme="minorBidi"/>
          <w:color w:val="000000"/>
          <w:sz w:val="28"/>
          <w:szCs w:val="28"/>
          <w:rtl/>
        </w:rPr>
        <w:t>هم من خطر التعذيب وسوء المعاملة</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(ب) تقديم المشورة والمساعدة التقنية للمؤسسات المكلفة بإنشاء الآلية الوقائية الوطنية، والدولة الطرف بشأن التزاماتها بموجب البروتوكول الاختياري.</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 xml:space="preserve">5. ونظرًا لأن التقييم الذي تم تناوله في هذا التقرير يسبق أحداث 7 أكتوبر 2023، تعرب اللجنة الفرعية عن قلقها من أن تداعيات هذه الأحداث قد تعيق بشكل أكبر قدرة الدولة الطرف على ممارسة </w:t>
      </w:r>
      <w:r w:rsidRPr="006E1CD2">
        <w:rPr>
          <w:rFonts w:asciiTheme="minorBidi" w:hAnsiTheme="minorBidi" w:cstheme="minorBidi"/>
          <w:color w:val="000000"/>
          <w:sz w:val="28"/>
          <w:szCs w:val="28"/>
          <w:rtl/>
        </w:rPr>
        <w:lastRenderedPageBreak/>
        <w:t>السيطرة الفعالة والامتثال الكامل لالتزاماتها بموجب البروتوكول الاختياري في جميع أنحاء أراضيها. وقد أعربت اللجنة الفرعية بالفعل عن استنكارها للوضع خلال زيارتها، مشيرة إلى أن الاحتلال الإسرائيلي المستمر، وتوسيع المستوطنات، والحصار على غزة، الذي يعد غير قانوني بموجب القانون الدولي، يشكل تحديات كبيرة أمام الدولة الطرف في تنفيذ التزاماتها بالكامل بسبب نقص السيطرة الفعالة على الأراضي، وتقلص السيادة، وصعوبات إدارة الموارد المالية، من بين أمور أخرى. وتشاطر اللجنة الفرعية وجهات نظر هيئات حقوق الإنسان الأخرى التي تعترف بأن هذه التحديات تحد من قدرة الدولة الطرف على منع ومكافحة التعذيب وسوء المعاملة.</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6. علاوة على ذلك، تعرب اللجنة الفرعية عن قلقها من أن الفلسطينيين في الضفة الغربية، بما في ذلك القدس الشرقية، وقطاع غزة لا يزالون يخضعون لأنظمة قانونية متعددة بسبب التجزئة السياسية والجغرافية، مما يعيق التنفيذ الكامل للتدابير الرامية إلى منع التعذيب وسوء المعاملة بما يتماشى مع البروتوكول الاختياري.</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7. تذكر اللجنة الفرعية بأن البروتوكول الاختياري ينطبق على كامل أراضي دولة فلسطين، بما في ذلك الضفة الغربية وغزة، وأن الوفد بذل كل الجهود اللازمة لزيارة جميع أماكن الحرمان من الحرية الواقعة تحت ولايتها. ومع ذلك، توضح أنه كان بإمكانها فقط زيارة أماكن الحرمان من الحرية في المنطقة (أ) التي تخضع للسيطرة الإدارية والأمنية للسلطة الفلسطينية في الضفة الغربية، وفقًا لاتفاق أوسلو الثاني لعام 1995. وتلاحظ اللجنة الفرعية الوضع المعقد للفلسطينيين المحتجزين في أماكن الحرمان من الحرية الواقعة في المناطق (ب) و(ج)، والتي لم يتمكن الوفد من زيارتها بسبب عدم سيطرة الدولة الطرف على الأمن الداخلي فيها.</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8. علاوة على ذلك، اضطر الوفد إلى إلغاء زيارته المخططة إلى غزة، التي تخضع لسيطرة السلطات الفعلية (حركة المقاومة الإسلامية)، حيث لم تتخذ السلطة الفلسطينية أي خطوات لتيسير وصول الوفد، بما يتماشى مع التزاماتها الناشئة عن البروتوكول الاختياري، رغم تشجيعهم على القيام بهذه الزيارة.</w:t>
      </w: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 xml:space="preserve">9. بالإضافة إلى زيارة أماكن الحرمان من الحرية </w:t>
      </w:r>
      <w:r w:rsidRPr="006E1CD2">
        <w:rPr>
          <w:rFonts w:asciiTheme="minorBidi" w:hAnsiTheme="minorBidi" w:cstheme="minorBidi"/>
          <w:color w:val="FF0000"/>
          <w:sz w:val="28"/>
          <w:szCs w:val="28"/>
          <w:rtl/>
        </w:rPr>
        <w:t>(انظر الملحق الأول)</w:t>
      </w:r>
      <w:r w:rsidRPr="006E1CD2">
        <w:rPr>
          <w:rFonts w:asciiTheme="minorBidi" w:hAnsiTheme="minorBidi" w:cstheme="minorBidi"/>
          <w:color w:val="000000"/>
          <w:sz w:val="28"/>
          <w:szCs w:val="28"/>
          <w:rtl/>
        </w:rPr>
        <w:t xml:space="preserve">، أجرت اللجنة الفرعية مناقشات مع السلطات الحكومية ذات الصلة والهيئات المكلفة بإنشاء الآلية الوقائية الوطنية </w:t>
      </w:r>
      <w:r w:rsidRPr="006E1CD2">
        <w:rPr>
          <w:rFonts w:asciiTheme="minorBidi" w:hAnsiTheme="minorBidi" w:cstheme="minorBidi"/>
          <w:color w:val="FF0000"/>
          <w:sz w:val="28"/>
          <w:szCs w:val="28"/>
          <w:rtl/>
        </w:rPr>
        <w:t>(انظر الملحق الثاني)</w:t>
      </w:r>
      <w:r w:rsidRPr="006E1CD2">
        <w:rPr>
          <w:rFonts w:asciiTheme="minorBidi" w:hAnsiTheme="minorBidi" w:cstheme="minorBidi"/>
          <w:color w:val="000000"/>
          <w:sz w:val="28"/>
          <w:szCs w:val="28"/>
          <w:rtl/>
        </w:rPr>
        <w:t>، ومع منظمات المجتمع المدني، وكذلك مع ممثلي الأمم المتحدة والمنظمات الدولية الأخرى في البلاد. بالإضافة إلى ذلك، قابلت اللجنة وأجرت مقابلات مع أشخاص محرومين من حريتهم وضباط إنفاذ القانون والاحتجاز والعاملين في المجال الطبي وآخرين.</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10. سيظل هذا التقرير سريًا إلى أن تطلب دولة فلسطين نشره وفقًا للمادة 16 (2) من البروتوكول الاختياري. وتؤمن اللجنة الفرعية بشدة بأن نشر هذا التقرير سيساهم بشكل إيجابي في منع التعذيب وسوء المعاملة في دولة فلسطين.</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11. توصي اللجنة الفرعية بجعل هذا التقرير متاحًا للجمهور وتوزيعه على جميع السلطات والأقسام والمؤسسات ذات الصلة، بما في ذلك وليس فقط تلك المشار إليها فيه.</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12. تعرب اللجنة الفرعية عن شكرها لفريق الأمم المتحدة القطري على المساعدة المقدمة قبل وأثناء الزيارة.</w:t>
      </w:r>
    </w:p>
    <w:p w:rsidR="007B6FCD" w:rsidRPr="006E1CD2" w:rsidRDefault="00E167CF" w:rsidP="00505B4A">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13. تعرب اللجنة الفرعية عن تقديرها للسلطات في دولة فلسطين على مساعدتها واحترافيتها في تسهيل الزيارة في الضفة الغربية. ومع ذلك، تأسف لعدم اتخاذ خطوات لتسهيل زيارتها إلى غزة.</w:t>
      </w:r>
    </w:p>
    <w:p w:rsidR="007B6FCD" w:rsidRPr="006E1CD2" w:rsidRDefault="007B6FCD" w:rsidP="00B433AB">
      <w:pPr>
        <w:pStyle w:val="NormalWeb"/>
        <w:jc w:val="both"/>
        <w:rPr>
          <w:rFonts w:asciiTheme="minorBidi" w:hAnsiTheme="minorBidi" w:cstheme="minorBidi"/>
          <w:color w:val="000000"/>
          <w:sz w:val="28"/>
          <w:szCs w:val="28"/>
          <w:rtl/>
        </w:rPr>
      </w:pP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الآلية الوقائية الوطنية وتنفيذ البروتوكول الاختياري</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14. تلاحظ اللجنة الفرعية الجهود الأخيرة التي بذلتها الدولة الطرف لإنشاء آليتها الوقائية الوطنية (</w:t>
      </w:r>
      <w:r w:rsidRPr="006E1CD2">
        <w:rPr>
          <w:rFonts w:asciiTheme="minorBidi" w:hAnsiTheme="minorBidi" w:cstheme="minorBidi"/>
          <w:color w:val="000000"/>
          <w:sz w:val="28"/>
          <w:szCs w:val="28"/>
        </w:rPr>
        <w:t>NPM</w:t>
      </w:r>
      <w:r w:rsidRPr="006E1CD2">
        <w:rPr>
          <w:rFonts w:asciiTheme="minorBidi" w:hAnsiTheme="minorBidi" w:cstheme="minorBidi"/>
          <w:color w:val="000000"/>
          <w:sz w:val="28"/>
          <w:szCs w:val="28"/>
          <w:rtl/>
        </w:rPr>
        <w:t>) وترحب بنشر اتفاقية مناهضة التعذيب وغيره من ضروب المعاملة أو العقوبة القاسية أو اللاإنسانية أو المهينة والبروتوكول الاختياري في الجريدة الرسمية بعد زيارتها في 25 سبتمبر 2023.</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15. تلاحظ اللجنة الفرعية اعتماد القرار بقانون رقم (25) لعام 2022، المنشور في الجريدة الرسمية. ومع ذلك، تعرب عن قلقها من أن هذا القرار بقانون، الذي أصدره الرئيس نظرًا لحل المجلس التشريعي الفلسطيني، لا يلبي متطلبات البروتوكول الاختياري. أعدت الدولة الطرف مشروع تعديل القرار بقانون لتغيير القرار رقم (25)، ووافق عليه مجلس الوزراء، لكنه كان في انتظار توقيع الرئيس خلال الزيارة. ورغم أن المشروع يتضمن تغييرات إيجابية، إلا أن هناك فجوات تشريعية كبيرة لا تزال قائمة.</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16. تقدر اللجنة الفرعية الفرصة التي أتيحت لها للتعليق كتابيًا على كلا القرارين بقانون المذكورين أعلاه وتقديم توصياتها الشفوية للسلطات المعنية خلال الزيارة. ويُوجز ملخص هذه الملاحظات والتوصيات أدناه.</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17. توصي اللجنة الفرعية بأن تتبنى الدولة الطرف توصياتها في النص التشريعي النهائي الذي ينشئ الآلية الوقائية الوطنية. كما تدعو الدولة الطرف إلى تمرير النص التشريعي من خلال عملية تشريعية منتظمة في المستقبل، بمجرد استئناف عمل المجلس التشريعي الفلسطيني، بحيث يتم توضيح ولاية الآلية وصلاحياتها وامتيازاتها وحصاناتها وفترة عمل موظفيها وأعضائها وجميع التفاصيل ذات الصلة.</w:t>
      </w:r>
    </w:p>
    <w:p w:rsidR="00E167CF" w:rsidRPr="006E1CD2" w:rsidRDefault="00E167CF" w:rsidP="00B433AB">
      <w:pPr>
        <w:pStyle w:val="NormalWeb"/>
        <w:jc w:val="both"/>
        <w:rPr>
          <w:rFonts w:asciiTheme="minorBidi" w:hAnsiTheme="minorBidi" w:cstheme="minorBidi"/>
          <w:color w:val="000000"/>
          <w:sz w:val="28"/>
          <w:szCs w:val="28"/>
          <w:rtl/>
        </w:rPr>
      </w:pPr>
    </w:p>
    <w:p w:rsidR="00E167CF" w:rsidRDefault="00E167CF" w:rsidP="00B433AB">
      <w:pPr>
        <w:pStyle w:val="NormalWeb"/>
        <w:jc w:val="both"/>
        <w:rPr>
          <w:rFonts w:asciiTheme="minorBidi" w:hAnsiTheme="minorBidi" w:cstheme="minorBidi"/>
          <w:color w:val="000000"/>
          <w:sz w:val="28"/>
          <w:szCs w:val="28"/>
        </w:rPr>
      </w:pPr>
    </w:p>
    <w:p w:rsidR="00505B4A" w:rsidRDefault="00505B4A" w:rsidP="00B433AB">
      <w:pPr>
        <w:pStyle w:val="NormalWeb"/>
        <w:jc w:val="both"/>
        <w:rPr>
          <w:rFonts w:asciiTheme="minorBidi" w:hAnsiTheme="minorBidi" w:cstheme="minorBidi"/>
          <w:color w:val="000000"/>
          <w:sz w:val="28"/>
          <w:szCs w:val="28"/>
        </w:rPr>
      </w:pPr>
    </w:p>
    <w:p w:rsidR="00505B4A" w:rsidRDefault="00505B4A" w:rsidP="00B433AB">
      <w:pPr>
        <w:pStyle w:val="NormalWeb"/>
        <w:jc w:val="both"/>
        <w:rPr>
          <w:rFonts w:asciiTheme="minorBidi" w:hAnsiTheme="minorBidi" w:cstheme="minorBidi"/>
          <w:color w:val="000000"/>
          <w:sz w:val="28"/>
          <w:szCs w:val="28"/>
        </w:rPr>
      </w:pPr>
    </w:p>
    <w:p w:rsidR="00505B4A" w:rsidRDefault="00505B4A" w:rsidP="00B433AB">
      <w:pPr>
        <w:pStyle w:val="NormalWeb"/>
        <w:jc w:val="both"/>
        <w:rPr>
          <w:rFonts w:asciiTheme="minorBidi" w:hAnsiTheme="minorBidi" w:cstheme="minorBidi"/>
          <w:color w:val="000000"/>
          <w:sz w:val="28"/>
          <w:szCs w:val="28"/>
        </w:rPr>
      </w:pPr>
    </w:p>
    <w:p w:rsidR="00505B4A" w:rsidRDefault="00505B4A" w:rsidP="00B433AB">
      <w:pPr>
        <w:pStyle w:val="NormalWeb"/>
        <w:jc w:val="both"/>
        <w:rPr>
          <w:rFonts w:asciiTheme="minorBidi" w:hAnsiTheme="minorBidi" w:cstheme="minorBidi"/>
          <w:color w:val="000000"/>
          <w:sz w:val="28"/>
          <w:szCs w:val="28"/>
        </w:rPr>
      </w:pPr>
    </w:p>
    <w:p w:rsidR="00373E22" w:rsidRPr="006E1CD2" w:rsidRDefault="00373E22" w:rsidP="00B433AB">
      <w:pPr>
        <w:pStyle w:val="NormalWeb"/>
        <w:jc w:val="both"/>
        <w:rPr>
          <w:rFonts w:asciiTheme="minorBidi" w:hAnsiTheme="minorBidi" w:cstheme="minorBidi"/>
          <w:color w:val="000000"/>
          <w:sz w:val="28"/>
          <w:szCs w:val="28"/>
        </w:rPr>
      </w:pPr>
    </w:p>
    <w:p w:rsidR="00556374" w:rsidRPr="006E1CD2" w:rsidRDefault="00556374" w:rsidP="00B433AB">
      <w:pPr>
        <w:pStyle w:val="NormalWeb"/>
        <w:jc w:val="both"/>
        <w:rPr>
          <w:rFonts w:asciiTheme="minorBidi" w:hAnsiTheme="minorBidi" w:cstheme="minorBidi"/>
          <w:color w:val="000000"/>
          <w:sz w:val="28"/>
          <w:szCs w:val="28"/>
        </w:rPr>
      </w:pPr>
    </w:p>
    <w:p w:rsidR="00E167CF" w:rsidRPr="006E1CD2" w:rsidRDefault="00E167CF" w:rsidP="00B433AB">
      <w:pPr>
        <w:pStyle w:val="NormalWeb"/>
        <w:jc w:val="both"/>
        <w:rPr>
          <w:rFonts w:asciiTheme="minorBidi" w:hAnsiTheme="minorBidi" w:cstheme="minorBidi"/>
          <w:color w:val="000000"/>
          <w:sz w:val="28"/>
          <w:szCs w:val="28"/>
        </w:rPr>
      </w:pP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lastRenderedPageBreak/>
        <w:t>أ. الإطار القانوني: الاستقلالية والبنية</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18. تلاحظ اللجنة الفرعية أن كلا من القرار بقانون رقم (25) ومشروع تعديل القرار بقانون يقدمان تعريفات للتعذيب وسوء المعاملة، ويؤسسان اللجنة الوطنية لمناهضة التعذيب كآلية وقائية وطنية، وينظمان وظيفتها وعضويتها. ومع ذلك، لا تزال العديد من المصطلحات والمفاهيم المقدمة من كلا القرارين بقانون غير متوافقة مع متطلبات البروتوكول الاختياري.</w:t>
      </w: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19. ترحب اللجنة الفرعية بأن المادة 2 من مشروع تعديل القرار بقانون تنص على إنشاء آلية وقائية وطنية مستقلة، بمكاتبها في مدينة القدس ورام الله وغزة، ووضعها المالي في الموازنة العامة. إلا أن القرار بقانون رقم (25) المعتمد لا يتضمن جميع هذه العناصر.</w:t>
      </w: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20. توصي اللجنة الفرعية بأن تقوم الدولة الطرف باعتماد التعديلات التشريعية كما هو متوقع في المادة 2 من مشروع تعديل القرار بقانون والتأكد من أن الآلية تتمتع بشخصية قانونية وقدرة على تنفيذ جميع الأعمال لتحقيق أهدافها بشكل مستقل، دون أي تدخل أو إشراف خارجي، وأن تتمتع بوضع مالي مستقل في ميزانية الدولة لضمان استقلالها المالي والتشغيلي والوظيفي المستمر.</w:t>
      </w:r>
    </w:p>
    <w:p w:rsidR="00E167CF" w:rsidRPr="006E1CD2" w:rsidRDefault="00E167CF" w:rsidP="00B433AB">
      <w:pPr>
        <w:pStyle w:val="NormalWeb"/>
        <w:jc w:val="both"/>
        <w:rPr>
          <w:rFonts w:asciiTheme="minorBidi" w:hAnsiTheme="minorBidi" w:cstheme="minorBidi"/>
          <w:color w:val="000000"/>
          <w:sz w:val="28"/>
          <w:szCs w:val="28"/>
        </w:rPr>
      </w:pP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ب. ولاية الوقاية للآلية</w:t>
      </w: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21. تعرب اللجنة الفرعية عن قلقها إزاء عدم وجود ولاية وقائية واضحة للآلية في كلا القرارين بقانون. وفقًا للمادة 4 من القرار بقانون رقم (25)، سيكون للآلية وظائف وقائية (زيارات) وتفاعلية (شكاوى)، بما في ذلك التحقيق في مزاعم التعذيب وسوء المعاملة. تؤكد اللجنة الفرعية أن الآلية ينبغي أن تؤدي دورًا وقائيًا فقط وألا تحقق في الشكاوى الفردية، حيث يقع ذلك ضمن اختصاص هيئات أخرى.</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22. توصي اللجنة الفرعية بأن تحدد الدولة الطرف بوضوح ولاية الوقاية في التشريعات المتعلقة بالآلية الوقائية الوطنية وتوضح أنه إذا تلقت مزاعم وشكاوى بشأن حالات محتملة من التعذيب وسوء المعاملة أثناء أنشطتها الرقابية، يجب عليها إحالتها إلى هيئات مختصة أخرى، مثل الهيئة المستقلة لحقوق الإنسان أو السلطات القضائية و/أو الإدارية ذات الصلة للتحقيق والملاحقة القضائية والفصل.</w:t>
      </w:r>
    </w:p>
    <w:p w:rsidR="00E167CF" w:rsidRPr="006E1CD2" w:rsidRDefault="00E167CF" w:rsidP="00B433AB">
      <w:pPr>
        <w:pStyle w:val="NormalWeb"/>
        <w:jc w:val="both"/>
        <w:rPr>
          <w:rFonts w:asciiTheme="minorBidi" w:hAnsiTheme="minorBidi" w:cstheme="minorBidi"/>
          <w:color w:val="000000"/>
          <w:sz w:val="28"/>
          <w:szCs w:val="28"/>
        </w:rPr>
      </w:pPr>
    </w:p>
    <w:p w:rsidR="00E167CF" w:rsidRPr="006E1CD2" w:rsidRDefault="00E167CF" w:rsidP="00B433AB">
      <w:pPr>
        <w:pStyle w:val="NormalWeb"/>
        <w:jc w:val="both"/>
        <w:rPr>
          <w:rFonts w:asciiTheme="minorBidi" w:hAnsiTheme="minorBidi" w:cstheme="minorBidi"/>
          <w:color w:val="000000"/>
          <w:sz w:val="28"/>
          <w:szCs w:val="28"/>
        </w:rPr>
      </w:pP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ج. التعيين والعضوية</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23. فيما يتعلق بالعضوية في الآلية الوقائية الوطنية، ينص كلا التشريعين على 12 عضوًا ورئيسًا. ومع ذلك، يطرح القرار بقانون رقم (25) مشكلات خطيرة تتعلق بالاستقلالية، وهو ما يشكل مصدر قلق أساسي للجنة الفرعية، على النحو التالي:</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 xml:space="preserve">(أ) يتم تعيين الرئيس وأعضاء الآلية إلى حد كبير بناءً على تقدير السلطة التنفيذية، حيث يعينهم الرئيس بعد ترشيحهم من قبل مجلس الوزراء، مع وجود قدر ضئيل أو معدوم من التشاور مع الجمهور </w:t>
      </w:r>
      <w:r w:rsidRPr="006E1CD2">
        <w:rPr>
          <w:rFonts w:asciiTheme="minorBidi" w:hAnsiTheme="minorBidi" w:cstheme="minorBidi"/>
          <w:color w:val="000000"/>
          <w:sz w:val="28"/>
          <w:szCs w:val="28"/>
          <w:rtl/>
        </w:rPr>
        <w:lastRenderedPageBreak/>
        <w:t>والمجتمع المدني، ويجب إعادة النظر في عدة أسباب لإنهاء العضوية واعتماد لوائح ت</w:t>
      </w:r>
      <w:r w:rsidR="00351F4F" w:rsidRPr="006E1CD2">
        <w:rPr>
          <w:rFonts w:asciiTheme="minorBidi" w:hAnsiTheme="minorBidi" w:cstheme="minorBidi"/>
          <w:color w:val="000000"/>
          <w:sz w:val="28"/>
          <w:szCs w:val="28"/>
          <w:rtl/>
        </w:rPr>
        <w:t>نظم إجراءات إنهاء تعيين الأعضاء.</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(ب) تثير معايير اختيار الأعضاء مخاوف بشأن موضوعيتها: معيار “السمعة الجيدة” قد يكون محل تساؤل، ويجب أن ينطبق معيار “تضارب المصالح” بشكل عادل على جميع الأعضاء، ول</w:t>
      </w:r>
      <w:r w:rsidR="00351F4F" w:rsidRPr="006E1CD2">
        <w:rPr>
          <w:rFonts w:asciiTheme="minorBidi" w:hAnsiTheme="minorBidi" w:cstheme="minorBidi"/>
          <w:color w:val="000000"/>
          <w:sz w:val="28"/>
          <w:szCs w:val="28"/>
          <w:rtl/>
        </w:rPr>
        <w:t>يس على ممثلي المجتمع المدني فقط.</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(ج) النهج التعددي والمتعدد التخصصات لتمثيل الآلية بشكل عادل لم يتم صياغته بوضوح.</w:t>
      </w:r>
    </w:p>
    <w:p w:rsidR="00351F4F" w:rsidRPr="006E1CD2" w:rsidRDefault="00351F4F" w:rsidP="00B433AB">
      <w:pPr>
        <w:pStyle w:val="NormalWeb"/>
        <w:bidi/>
        <w:jc w:val="both"/>
        <w:rPr>
          <w:rFonts w:asciiTheme="minorBidi" w:hAnsiTheme="minorBidi" w:cstheme="minorBidi"/>
          <w:color w:val="000000"/>
          <w:sz w:val="28"/>
          <w:szCs w:val="28"/>
        </w:rPr>
      </w:pP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24. تتناول مشروع تعديل القرار بقانون هذه المخاوف جزئيًا، حيث يقترح إنشاء هيئة منفصلة، اللجنة الوطنية، تكو</w:t>
      </w:r>
      <w:r w:rsidR="000C6255" w:rsidRPr="006E1CD2">
        <w:rPr>
          <w:rFonts w:asciiTheme="minorBidi" w:hAnsiTheme="minorBidi" w:cstheme="minorBidi"/>
          <w:color w:val="000000"/>
          <w:sz w:val="28"/>
          <w:szCs w:val="28"/>
          <w:rtl/>
        </w:rPr>
        <w:t>ن مسؤولة عن اختيار أعضاء الآلية.</w:t>
      </w:r>
      <w:r w:rsidRPr="006E1CD2">
        <w:rPr>
          <w:rFonts w:asciiTheme="minorBidi" w:hAnsiTheme="minorBidi" w:cstheme="minorBidi"/>
          <w:color w:val="000000"/>
          <w:sz w:val="28"/>
          <w:szCs w:val="28"/>
          <w:rtl/>
        </w:rPr>
        <w:t xml:space="preserve"> كما تهدف إلى عملية ترشيح أكثر علنية وشفافية، رغم أن مخاوف الاستقلالية لا تزال قائمة. خلال زيارتها، علمت اللجنة بوجود خطوات أولية لإنشاء اللجنة الوطنية، ولكن ليس من الواضح تحت أي نص تنظيمي تم اتخاذ هذا الاختيار، حيث إن مشروع تعديل القرار بقانون لم يدخل حيز التنفيذ بعد.</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25. توصي اللجنة الفرعية بأن تعتمد الدولة الطرف التعديلات التشريعية الضرورية على القرار بقانون رقم (25) من أجل:</w:t>
      </w: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(أ) إنشاء عملية اختيار وتعيين مفتوحة وشفافة وشاملة لرئيس وأعضاء الآلية بناءً على أسس عامة.</w:t>
      </w: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 xml:space="preserve">المعايير المعلنة. ينبغي أن تتضمن هذه العملية مجموعة واسعة من الفاعلين، بما في ذلك المجتمع المدني وأصحاب المصلحة الآخرين الذين لديهم خبرة في منع التعذيب. كما يجب، في حال استمر إنشاء اللجنة الوطنية كما هو متوقع في مشروع تعديل القرار بقانون (المعلق للموافقة)، أن لا تتدخل </w:t>
      </w:r>
      <w:r w:rsidR="000C6255" w:rsidRPr="006E1CD2">
        <w:rPr>
          <w:rFonts w:asciiTheme="minorBidi" w:hAnsiTheme="minorBidi" w:cstheme="minorBidi"/>
          <w:color w:val="000000"/>
          <w:sz w:val="28"/>
          <w:szCs w:val="28"/>
          <w:rtl/>
        </w:rPr>
        <w:t>السلطة التنفيذية في هذه العملية.</w:t>
      </w: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(ب) ضمان أن يكون لدى موظفي وأعضاء الآلية خلفيات متنوعة وقدرات ومعرفة مهنية ضرورية لتنفيذ ولايتها وفقًا للمادتين 18 (1) و (2) من البروتوكول الاختياري. يجب أن يشمل ذلك الخبرة القانونية والصحية ذات الصلة، وضمان استقلالية الآلية من خلال عدم تعيين أعضاء يشغلون مناصب قد تثير تضاربًا في المصالح، مثل الموظفين الحاليين أو السابقين في الأجهزة الأمنية.</w:t>
      </w: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د. مهام الآلية</w:t>
      </w:r>
    </w:p>
    <w:p w:rsidR="00E167CF" w:rsidRPr="006E1CD2" w:rsidRDefault="00554535"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26. قدم</w:t>
      </w:r>
      <w:r w:rsidR="00E167CF" w:rsidRPr="006E1CD2">
        <w:rPr>
          <w:rFonts w:asciiTheme="minorBidi" w:hAnsiTheme="minorBidi" w:cstheme="minorBidi"/>
          <w:color w:val="000000"/>
          <w:sz w:val="28"/>
          <w:szCs w:val="28"/>
          <w:rtl/>
        </w:rPr>
        <w:t xml:space="preserve"> الوفد عدة توصيات لتعزيز وتوضيح مهام الآلية في كلا التشريعين. وشملت المقترحات الرئيسية ما يلي: إجراء زيارات مفاجئة إلى أي مكان يتم فيه حرمان الأشخاص من حريتهم، وضمان الوصول غير المقيد إلى جميع المعلومات ذات الصلة، وإجراء مقابلات سرية، وإعداد تقارير وتوصيات تستند إلى المعايير الوطنية والدولية، والتعليق على التشريعات القائمة أو مشاريع التشريعات. </w:t>
      </w:r>
      <w:r w:rsidRPr="006E1CD2">
        <w:rPr>
          <w:rFonts w:asciiTheme="minorBidi" w:hAnsiTheme="minorBidi" w:cstheme="minorBidi"/>
          <w:color w:val="000000"/>
          <w:sz w:val="28"/>
          <w:szCs w:val="28"/>
          <w:rtl/>
        </w:rPr>
        <w:t>رحب</w:t>
      </w:r>
      <w:r w:rsidR="00E167CF" w:rsidRPr="006E1CD2">
        <w:rPr>
          <w:rFonts w:asciiTheme="minorBidi" w:hAnsiTheme="minorBidi" w:cstheme="minorBidi"/>
          <w:color w:val="000000"/>
          <w:sz w:val="28"/>
          <w:szCs w:val="28"/>
          <w:rtl/>
        </w:rPr>
        <w:t xml:space="preserve"> الوفد بتضمين المهام في مشروع تعديل القرار بقانون، مثل إعداد الميزانية السنوية واللوائح المالية والإدارية، والتي لم ترد في القرار بقانون رقم (25) المعتمد.</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27. توصي اللجنة الفرعية بأن تدرج الدولة الطرف المهام المقترحة في تشريعها المعدل المتعلق بالآلية، كما حددها الوفد خلال الزيارة:</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lastRenderedPageBreak/>
        <w:t>(أ) سلطة فحص معاملة الأشخاص المحرومين من حريتهم بانتظام في جميع أماكن الاحتجاز، كما هو محدد في المادة 4 من البروتوكول الاختياري، بما في ذلك الوصول الفوري والمنتظم وغير المقيد إلى جميع المعلومات ذات الصلة، وفقًا للمادة</w:t>
      </w:r>
      <w:r w:rsidR="00554535" w:rsidRPr="006E1CD2">
        <w:rPr>
          <w:rFonts w:asciiTheme="minorBidi" w:hAnsiTheme="minorBidi" w:cstheme="minorBidi"/>
          <w:color w:val="000000"/>
          <w:sz w:val="28"/>
          <w:szCs w:val="28"/>
          <w:rtl/>
        </w:rPr>
        <w:t xml:space="preserve"> 20 (ب) من البروتوكول الاختياري.</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(ب) ولا</w:t>
      </w:r>
      <w:r w:rsidR="00554535" w:rsidRPr="006E1CD2">
        <w:rPr>
          <w:rFonts w:asciiTheme="minorBidi" w:hAnsiTheme="minorBidi" w:cstheme="minorBidi"/>
          <w:color w:val="000000"/>
          <w:sz w:val="28"/>
          <w:szCs w:val="28"/>
          <w:rtl/>
        </w:rPr>
        <w:t>ية إصدار توصيات للسلطات المختصة.</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(ج) واجب على السلطات المعنية الدخول في حوار</w:t>
      </w:r>
      <w:r w:rsidR="00554535" w:rsidRPr="006E1CD2">
        <w:rPr>
          <w:rFonts w:asciiTheme="minorBidi" w:hAnsiTheme="minorBidi" w:cstheme="minorBidi"/>
          <w:color w:val="000000"/>
          <w:sz w:val="28"/>
          <w:szCs w:val="28"/>
          <w:rtl/>
        </w:rPr>
        <w:t xml:space="preserve"> مع الآلية بشأن متابعة توصياتها.</w:t>
      </w:r>
    </w:p>
    <w:p w:rsidR="00556374"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(د) المهام الخارجية للآلية، مثل تقديم مقترحات وملاحظات حول التشريعات القائمة ومشاريع التشريعات، والدعوة، وزيادة الوعي، وبناء القدرات.</w:t>
      </w:r>
    </w:p>
    <w:p w:rsidR="00556374" w:rsidRPr="006E1CD2" w:rsidRDefault="00556374" w:rsidP="00B433AB">
      <w:pPr>
        <w:pStyle w:val="NormalWeb"/>
        <w:jc w:val="both"/>
        <w:rPr>
          <w:rFonts w:asciiTheme="minorBidi" w:hAnsiTheme="minorBidi" w:cstheme="minorBidi"/>
          <w:color w:val="000000"/>
          <w:sz w:val="28"/>
          <w:szCs w:val="28"/>
        </w:rPr>
      </w:pP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هـ. الحصانة والامتيازات</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28. تلاحظ اللجنة الفرعية بقلق عدم وجود حصانة وظيفية صريحة لأعضاء الآلية وموظفيها في أي من التشريعين.</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29. ينبغي على الدولة الطرف أن تكرس في القانون الحصانة الوظيفية والامتيازات لموظفي وأعضاء الآلية، ولمن يساهمون في عملها، بما في ذلك الخبراء والمجتمع المدني، مع ضمان حماية الأشخاص الذين يقدمون معلومات إليها.</w:t>
      </w:r>
    </w:p>
    <w:p w:rsidR="00E167CF" w:rsidRPr="006E1CD2" w:rsidRDefault="00E167CF" w:rsidP="00B433AB">
      <w:pPr>
        <w:pStyle w:val="NormalWeb"/>
        <w:jc w:val="both"/>
        <w:rPr>
          <w:rFonts w:asciiTheme="minorBidi" w:hAnsiTheme="minorBidi" w:cstheme="minorBidi"/>
          <w:color w:val="000000"/>
          <w:sz w:val="28"/>
          <w:szCs w:val="28"/>
        </w:rPr>
      </w:pP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و. الموارد البشرية والتدريب</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30. تلاحظ اللجنة الفرعية أن كلا القرارين بقانون ينصان على تعيين الموظفين الإداريين للآلية، الذين من المتوقع أن يعملوا كأمانة دائمة ومستقلة وأن يحصلوا على أجر وفقًا لذلك. يشير القرار بقانون رقم (25) أيضًا إلى تطبيق قانون الخدمة المدنية ونظام توظيف الخبراء والوظائف العرضية أو المؤقتة لرئيس وأعضاء الآلية، لكنه يظل صامتًا بشأن تعويض الأعضاء ومشاركتهم في المهام (دوام كامل أو جزئي).</w:t>
      </w:r>
    </w:p>
    <w:p w:rsidR="00E167CF" w:rsidRPr="006E1CD2" w:rsidRDefault="00E167CF" w:rsidP="00B433AB">
      <w:pPr>
        <w:pStyle w:val="NormalWeb"/>
        <w:bidi/>
        <w:jc w:val="both"/>
        <w:rPr>
          <w:rFonts w:asciiTheme="minorBidi" w:hAnsiTheme="minorBidi" w:cstheme="minorBidi"/>
          <w:color w:val="000000"/>
          <w:sz w:val="28"/>
          <w:szCs w:val="28"/>
          <w:rtl/>
        </w:rPr>
      </w:pPr>
    </w:p>
    <w:p w:rsidR="00554535"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 xml:space="preserve">31. يجب على الدولة الطرف إجراء الترتيبات اللازمة، بما في ذلك التغييرات التشريعية إذا لزم الأمر، لضمان أن يكون أعضاء الآلية الوقائية الوطنية متاحين لأداء وظائفهم وخدمة الآلية بكفاءة، كما هو منصوص عليه في المادة 5، الفقرة 6، من البروتوكول الاختياري. </w:t>
      </w:r>
    </w:p>
    <w:p w:rsidR="00391192" w:rsidRPr="006E1CD2" w:rsidRDefault="00E167CF" w:rsidP="00505B4A">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ينبغي على الدولة الطرف أن تطبق لوائح الخدمة المدنية بشكل مرن على الآلية، أو تستثنيها تمامًا، لتمكينها من توظيف أفراد إضافيين، وتعزيز التعاون مع المجتمع المدني والاستفادة من المهنيين الخارجيين المستقلين المؤهلين والمدربين بشكل مناسب والذين يتمتعون بالخبرة ذات الصلة. ينبغي على أعضاء وموظفي الآلية مراجعة أساليب عملهم بانتظام وإجراء التدريب لتحسين قدرتهم على أداء مهامهم بموجب البروتوكول الاختياري.</w:t>
      </w:r>
    </w:p>
    <w:p w:rsidR="00391192" w:rsidRPr="006E1CD2" w:rsidRDefault="00391192" w:rsidP="00B433AB">
      <w:pPr>
        <w:pStyle w:val="NormalWeb"/>
        <w:jc w:val="both"/>
        <w:rPr>
          <w:rFonts w:asciiTheme="minorBidi" w:hAnsiTheme="minorBidi" w:cstheme="minorBidi"/>
          <w:color w:val="000000"/>
          <w:sz w:val="28"/>
          <w:szCs w:val="28"/>
        </w:rPr>
      </w:pP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ز. الزيارات والوصول</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32. تلاحظ اللجنة الفرعية أن تعريف أماكن الحرمان من الحرية، كما هو متوقع في كلا القرارين بقانون في المادة 1، يجب ألا يكون محدودًا بـ”الأماكن الرسمية”، على الرغم من أن هذه المادة تشير أيضًا إلى أن الآلية يمكن أن تصنف أي مكان للحرمان من الحرية على أنه “رسمي”.</w:t>
      </w:r>
    </w:p>
    <w:p w:rsidR="00556374"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33. في تحديد ما يشكل مكانًا للحرمان من الحرية، ينبغي على الدولة الطرف تبني نهج شامل لزيادة الأثر الوقائي للآلية الوقائية الوطنية. يتضمن ذلك تطوير قائمة شاملة وغير حصرية لأنواع الأماكن التي يُحرم فيها الأشخاص من حريتهم، وفقًا للمادة 4 من البروتوكول الاختياري وتعليقه العام رقم 1. علاوة على ذلك، يجب على الدولة الطرف ضمان أن تكون للآلية السلطة القانونية والقدرة العملية على الوصول إلى أي مكان تعتقد أن الناس يُحرمون فيه من حريتهم، سواء كان رسميًا أو غير رسمي، وفقًا للمادتين 4 و19 و20 من البروتوكول الاختياري.</w:t>
      </w:r>
    </w:p>
    <w:p w:rsidR="00E167CF" w:rsidRPr="006E1CD2" w:rsidRDefault="00E167CF" w:rsidP="00B433AB">
      <w:pPr>
        <w:pStyle w:val="NormalWeb"/>
        <w:jc w:val="both"/>
        <w:rPr>
          <w:rFonts w:asciiTheme="minorBidi" w:hAnsiTheme="minorBidi" w:cstheme="minorBidi"/>
          <w:color w:val="000000"/>
          <w:sz w:val="28"/>
          <w:szCs w:val="28"/>
        </w:rPr>
      </w:pP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الإطار المعياري والمؤسسي لمنع التعذيب</w:t>
      </w: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أ. الإطار المعياري</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1. تعريف وتجريم التعذيب</w:t>
      </w:r>
    </w:p>
    <w:p w:rsidR="00E167CF"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34. تلاحظ اللجنة الفرعية أن التعذيب محظور صراحة بموجب المادة 13.1 من القانون الأساسي الفلسطيني لعام 2003، وأن القوانين القائمة الأخرى تشير ضمنًا إلى هذا الحظر. بالإضافة إلى ذلك، تتضمن المادة 1 من القرار بقانون رقم (25) ومشروع تعديل القرار بقانون تعريفً</w:t>
      </w:r>
      <w:r w:rsidR="00391192" w:rsidRPr="006E1CD2">
        <w:rPr>
          <w:rFonts w:asciiTheme="minorBidi" w:hAnsiTheme="minorBidi" w:cstheme="minorBidi"/>
          <w:color w:val="000000"/>
          <w:sz w:val="28"/>
          <w:szCs w:val="28"/>
          <w:rtl/>
        </w:rPr>
        <w:t>ا شاملاً للتعذيب وسوء المعاملة،</w:t>
      </w:r>
      <w:r w:rsidRPr="006E1CD2">
        <w:rPr>
          <w:rFonts w:asciiTheme="minorBidi" w:hAnsiTheme="minorBidi" w:cstheme="minorBidi"/>
          <w:color w:val="000000"/>
          <w:sz w:val="28"/>
          <w:szCs w:val="28"/>
          <w:rtl/>
        </w:rPr>
        <w:t xml:space="preserve"> وتلاحظ أيضًا التعديلات التشريعية الأخيرة التي أجريت على التشريعات الجنائية (وهي قانون العقوبات رقم (16) لعام 1960، وقانون العقوبات رقم (74) لعام 1936، وقانون العقوبات الثوري لعام 1979)، والتي عززت تجريم التعذيب وسوء المعاملة وفرضت عقوبات أشد على مثل هذه الأفعال. كما تلاحظ بارتياح أن أفعال التعذيب لا تخضع للتقادم. ومع ذلك، تأسف لأن العفو والامتيازات ليست مستثناة تحديدًا لأفعال التعذيب.</w:t>
      </w: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35. تدعو اللجنة الفرعية الدولة الطرف إلى اتخاذ جميع الخطوات التشريعية اللازمة لتوحيد تشريعاتها الجنائية، لا سيما النصوص المختلفة المطبقة في أجزاء مختلفة من إقليم الدولة الطرف، بهدف تجريم التعذيب وفقًا للمادة 1 من اتفاقية مناهضة التعذيب. وفي هذا السياق، توصي اللجنة بأن تضمن الدولة الطرف عدم خضوع جريمة التعذيب للعفو أو الامتيازات.</w:t>
      </w:r>
    </w:p>
    <w:p w:rsidR="00E167CF" w:rsidRPr="006E1CD2" w:rsidRDefault="00E167CF" w:rsidP="00B433AB">
      <w:pPr>
        <w:pStyle w:val="NormalWeb"/>
        <w:jc w:val="both"/>
        <w:rPr>
          <w:rFonts w:asciiTheme="minorBidi" w:hAnsiTheme="minorBidi" w:cstheme="minorBidi"/>
          <w:color w:val="000000"/>
          <w:sz w:val="28"/>
          <w:szCs w:val="28"/>
          <w:rtl/>
        </w:rPr>
      </w:pPr>
    </w:p>
    <w:p w:rsidR="00391192" w:rsidRPr="006E1CD2" w:rsidRDefault="00391192" w:rsidP="00B433AB">
      <w:pPr>
        <w:pStyle w:val="NormalWeb"/>
        <w:jc w:val="both"/>
        <w:rPr>
          <w:rFonts w:asciiTheme="minorBidi" w:hAnsiTheme="minorBidi" w:cstheme="minorBidi"/>
          <w:color w:val="000000"/>
          <w:sz w:val="28"/>
          <w:szCs w:val="28"/>
          <w:rtl/>
        </w:rPr>
      </w:pPr>
    </w:p>
    <w:p w:rsidR="00391192" w:rsidRPr="006E1CD2" w:rsidRDefault="00391192" w:rsidP="00B433AB">
      <w:pPr>
        <w:pStyle w:val="NormalWeb"/>
        <w:jc w:val="both"/>
        <w:rPr>
          <w:rFonts w:asciiTheme="minorBidi" w:hAnsiTheme="minorBidi" w:cstheme="minorBidi"/>
          <w:color w:val="000000"/>
          <w:sz w:val="28"/>
          <w:szCs w:val="28"/>
          <w:rtl/>
        </w:rPr>
      </w:pPr>
    </w:p>
    <w:p w:rsidR="00391192" w:rsidRPr="006E1CD2" w:rsidRDefault="00391192" w:rsidP="00B433AB">
      <w:pPr>
        <w:pStyle w:val="NormalWeb"/>
        <w:jc w:val="both"/>
        <w:rPr>
          <w:rFonts w:asciiTheme="minorBidi" w:hAnsiTheme="minorBidi" w:cstheme="minorBidi"/>
          <w:color w:val="000000"/>
          <w:sz w:val="28"/>
          <w:szCs w:val="28"/>
          <w:rtl/>
        </w:rPr>
      </w:pPr>
    </w:p>
    <w:p w:rsidR="00391192" w:rsidRPr="006E1CD2" w:rsidRDefault="00391192" w:rsidP="00B433AB">
      <w:pPr>
        <w:pStyle w:val="NormalWeb"/>
        <w:jc w:val="both"/>
        <w:rPr>
          <w:rFonts w:asciiTheme="minorBidi" w:hAnsiTheme="minorBidi" w:cstheme="minorBidi"/>
          <w:color w:val="000000"/>
          <w:sz w:val="28"/>
          <w:szCs w:val="28"/>
        </w:rPr>
      </w:pPr>
    </w:p>
    <w:p w:rsidR="00E167CF" w:rsidRPr="006E1CD2" w:rsidRDefault="00E167CF"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2. تشريعات أخرى</w:t>
      </w:r>
    </w:p>
    <w:p w:rsidR="00622EE7" w:rsidRPr="006E1CD2" w:rsidRDefault="00E167CF"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36. تأسف اللجنة الفرعية للإشارة إلى أن مشروع قانون الصحة النفسية الحالي لا يزال معلقًا ولم يتم اعتماده. عقب نتا</w:t>
      </w:r>
      <w:r w:rsidR="00391192" w:rsidRPr="006E1CD2">
        <w:rPr>
          <w:rFonts w:asciiTheme="minorBidi" w:hAnsiTheme="minorBidi" w:cstheme="minorBidi"/>
          <w:color w:val="000000"/>
          <w:sz w:val="28"/>
          <w:szCs w:val="28"/>
          <w:rtl/>
        </w:rPr>
        <w:t>ئج زيارتها إلى المؤسسة النفسية في</w:t>
      </w:r>
      <w:r w:rsidR="00622EE7" w:rsidRPr="006E1CD2">
        <w:rPr>
          <w:rFonts w:asciiTheme="minorBidi" w:hAnsiTheme="minorBidi" w:cstheme="minorBidi"/>
          <w:color w:val="000000"/>
          <w:sz w:val="28"/>
          <w:szCs w:val="28"/>
          <w:rtl/>
        </w:rPr>
        <w:t xml:space="preserve"> بيت لحم ، تعتبر تبني هذا التشريع أمرًا عاجلًا. لاحظت اللجنة الفرعية نقص الرعاية المجتمعية في الدولة الطرف، مما يؤدي إلى الإفراط في استخدام المستشفيات النفسية والعلاج القسري، وحرمان الحرية لأسباب صحية، والرعاية النفسية طويلة الأمد في وحدات مغلقة.</w:t>
      </w:r>
    </w:p>
    <w:p w:rsidR="00622EE7" w:rsidRPr="006E1CD2" w:rsidRDefault="00622EE7"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37. توصي اللجنة الفرعية الدولة الطرف بتسريع اعتماد قانون الصحة النفسية بما يتماشى تمامًا مع اتفاقية حقوق الأشخاص ذوي الإعاقة، مع التركيز بشكل خاص على الرعاية المجتمعية وإلغاء المؤسسات.</w:t>
      </w:r>
    </w:p>
    <w:p w:rsidR="00622EE7" w:rsidRPr="006E1CD2" w:rsidRDefault="00622EE7"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38. تأخذ اللجنة الفرعية علماً بالمعلومات التي قدمتها الدولة الطرف حول اعتماد قانون الإجراءات الجنائية الجديد المعلق في وقت زيارتها. مثل هذا الإصلاح ضروري، حيث لا تنص التشريعات الجنائية الحالية صراحةً على الحق في الوصول إلى محامٍ فورًا عند القبض على الأشخاص واحتجازهم، كأحد الضمانات القانونية لمنع التعذيب أو سوء المعاملة.</w:t>
      </w:r>
    </w:p>
    <w:p w:rsidR="00622EE7" w:rsidRPr="006E1CD2" w:rsidRDefault="00622EE7"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39. كما علمت اللجنة الفرعية بعملية صياغة قانون المساعدة القانونية، الذي من المفترض أن يسهم في تعزيز الوصول إلى المساعدة القانونية منذ لحظة الحرمان من الحرية. ومع ذلك، تعرب عن أسفها للتقدم البطيء في استكمال هذا القانون.</w:t>
      </w:r>
    </w:p>
    <w:p w:rsidR="00622EE7" w:rsidRPr="006E1CD2" w:rsidRDefault="00622EE7"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40. بالإضافة إلى ذلك، يجيز المادة 126 من قانون الإجراءات الجنائية الحالي للقضاة والمدعين زيارة مراكز الاحتجاز لمراجعة قانونية احتجاز الأشخاص المحتجزين هناك. علاوة على ذلك، يحق للمحتجزين تقديم شكوى إلى المدعي العام من خلال مدير مركز الاحتجاز وفقًا للمادة 127 من نفس القانون. ومع ذلك، تعتقد اللجنة الفرعية أن هذه ينبغي أن تكون بدائل وطرق إضافية، ويجب على الدولة الطرف ضمان أن الأشخاص المحتجزين أو ممثليهم يمكنهم تقديم طلب إلى محكمة لمراجعة قانونية الاحتجاز من خلال إجراء فعّال لحماية حق المثول أمام المحكمة.</w:t>
      </w:r>
    </w:p>
    <w:p w:rsidR="00622EE7" w:rsidRPr="006E1CD2" w:rsidRDefault="00622EE7"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41. أخيرًا، لاحظت اللجنة الفرعية عدم وجود قاضٍ يشرف على نظام تنفيذ الأحكام. قد يسهم نظام تنفيذ الأحكام المطور بشكل مناسب بشكل كبير في تخفيف بعض القصور المكتشفة في النظام السجني ويسهم إيجابياً في تقليل عدد السجناء تدريجياً.</w:t>
      </w:r>
    </w:p>
    <w:p w:rsidR="00622EE7" w:rsidRPr="006E1CD2" w:rsidRDefault="00622EE7"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42. توصي اللجنة الفرعية الدولة الطرف بما يلي:</w:t>
      </w:r>
    </w:p>
    <w:p w:rsidR="00622EE7" w:rsidRPr="006E1CD2" w:rsidRDefault="00622EE7"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 xml:space="preserve">(أ) إصلاح قانون الإجراءات الجنائية لضمان الحق في الوصول الفوري إلى محامٍ منذ لحظة حرمان الأفراد من الحرية وطوال الإجراءات القانونية، وإذا لزم الأمر، تقديم مساعدة قانونية مجانية ذات جودة كافية من خلال نظام مساعدة قانونية ممول ومجهز بشكل صحيح، بما في ذلك </w:t>
      </w:r>
      <w:r w:rsidR="00DD306B" w:rsidRPr="006E1CD2">
        <w:rPr>
          <w:rFonts w:asciiTheme="minorBidi" w:hAnsiTheme="minorBidi" w:cstheme="minorBidi"/>
          <w:color w:val="000000"/>
          <w:sz w:val="28"/>
          <w:szCs w:val="28"/>
          <w:rtl/>
        </w:rPr>
        <w:t>أثناء الاستجواب الأولي والتحقيق.</w:t>
      </w:r>
    </w:p>
    <w:p w:rsidR="00622EE7" w:rsidRPr="006E1CD2" w:rsidRDefault="00622EE7"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lastRenderedPageBreak/>
        <w:t>(ب) اعتماد قانون المساعدة القانونية لإنشاء آلية فعالة ومتاحة لتقديم المساعدة القانونية المجانية. ينبغي للسلطات النظر في اتخاذ تدابير لزيادة عدد المحامين المدربين سنويًا، وتشجيعهم على العمل في مختلف مناطق الدولة وتخصيص ميزانية كا</w:t>
      </w:r>
      <w:r w:rsidR="00DD306B" w:rsidRPr="006E1CD2">
        <w:rPr>
          <w:rFonts w:asciiTheme="minorBidi" w:hAnsiTheme="minorBidi" w:cstheme="minorBidi"/>
          <w:color w:val="000000"/>
          <w:sz w:val="28"/>
          <w:szCs w:val="28"/>
          <w:rtl/>
        </w:rPr>
        <w:t>فية للمساعدة القانونية المجانية.</w:t>
      </w:r>
    </w:p>
    <w:p w:rsidR="00622EE7" w:rsidRPr="006E1CD2" w:rsidRDefault="00622EE7"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 xml:space="preserve">(ج) ضمان أن جميع الأشخاص المحرومين من حريتهم لديهم الحق في الطعن في قانونية احتجازهم بشكل فعّال وسريع من خلال إجراء المثول أمام المحكمة، وإلزام السلطات بجلب المحتجز أمام قاضٍ </w:t>
      </w:r>
      <w:r w:rsidR="00533003" w:rsidRPr="006E1CD2">
        <w:rPr>
          <w:rFonts w:asciiTheme="minorBidi" w:hAnsiTheme="minorBidi" w:cstheme="minorBidi"/>
          <w:color w:val="000000"/>
          <w:sz w:val="28"/>
          <w:szCs w:val="28"/>
          <w:rtl/>
        </w:rPr>
        <w:t>شخصيًا في كل حالة من هذا القبيل.</w:t>
      </w:r>
    </w:p>
    <w:p w:rsidR="00622EE7" w:rsidRPr="006E1CD2" w:rsidRDefault="00622EE7"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(د) إنشاء قاضٍ لتنفيذ الأحكام.</w:t>
      </w:r>
    </w:p>
    <w:p w:rsidR="00622EE7" w:rsidRPr="006E1CD2" w:rsidRDefault="00622EE7" w:rsidP="00505B4A">
      <w:pPr>
        <w:pStyle w:val="NormalWeb"/>
        <w:jc w:val="right"/>
        <w:rPr>
          <w:rFonts w:asciiTheme="minorBidi" w:hAnsiTheme="minorBidi" w:cstheme="minorBidi"/>
          <w:color w:val="000000"/>
          <w:sz w:val="28"/>
          <w:szCs w:val="28"/>
          <w:rtl/>
        </w:rPr>
      </w:pPr>
      <w:r w:rsidRPr="006E1CD2">
        <w:rPr>
          <w:rFonts w:asciiTheme="minorBidi" w:hAnsiTheme="minorBidi" w:cstheme="minorBidi"/>
          <w:color w:val="000000"/>
          <w:sz w:val="28"/>
          <w:szCs w:val="28"/>
          <w:rtl/>
        </w:rPr>
        <w:t>عقوبة الإعدام</w:t>
      </w:r>
    </w:p>
    <w:p w:rsidR="00622EE7" w:rsidRPr="006E1CD2" w:rsidRDefault="00622EE7"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43. ترحب اللجنة الفرعية بالوقف الفعلي لعقوبة الإعدام في إقليم الدولة الطرف. ومع ذلك، تلاحظ أن الانضمام إلى البروتوكول الاختياري الثاني للعهد الدولي الخاص بالحقوق المدنية والسياسية في 18 مارس 2019 لم يصحبه إلغاء صريح لعقوبة الإعدام في القانون الجنائي الفلسطيني. تعرب اللجنة الفرعية عن قلقها من أن التشريعات الجنائية لا تزال تنص على عقوبة الإعدام.</w:t>
      </w:r>
    </w:p>
    <w:p w:rsidR="00FF1D7D" w:rsidRPr="006E1CD2" w:rsidRDefault="00FF1D7D"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 xml:space="preserve">عقوبة على الجرائم ذات الخطورة الأقل نسبيًا. 10 مقابلات مع الأشخاص المحكوم عليهم بالإعدام </w:t>
      </w:r>
      <w:r w:rsidR="00533003" w:rsidRPr="006E1CD2">
        <w:rPr>
          <w:rFonts w:asciiTheme="minorBidi" w:hAnsiTheme="minorBidi" w:cstheme="minorBidi"/>
          <w:color w:val="000000"/>
          <w:sz w:val="28"/>
          <w:szCs w:val="28"/>
          <w:rtl/>
        </w:rPr>
        <w:t xml:space="preserve">اتضح </w:t>
      </w:r>
      <w:r w:rsidRPr="006E1CD2">
        <w:rPr>
          <w:rFonts w:asciiTheme="minorBidi" w:hAnsiTheme="minorBidi" w:cstheme="minorBidi"/>
          <w:color w:val="000000"/>
          <w:sz w:val="28"/>
          <w:szCs w:val="28"/>
          <w:rtl/>
        </w:rPr>
        <w:t>أن عقوباتهم لم تُخفف بعد.</w:t>
      </w:r>
    </w:p>
    <w:p w:rsidR="00FF1D7D" w:rsidRPr="006E1CD2" w:rsidRDefault="00FF1D7D"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44. توصي اللجنة الفرعية بأن تلغي الدولة الطرف عقوبة الإعدام في قانونها الجنائي من أجل التنفيذ الكامل للبروتوكول الاختياري الثاني للعهد الدولي الخاص بالحقوق المدنية والسياسية، وتراجع وتعيد النظر في الوضع القانوني للأشخاص المحكوم عليهم بالإعدام في ضوء انضمامها للبروتوكول.</w:t>
      </w:r>
    </w:p>
    <w:p w:rsidR="00FF1D7D" w:rsidRPr="006E1CD2" w:rsidRDefault="00FF1D7D" w:rsidP="00B433AB">
      <w:pPr>
        <w:pStyle w:val="NormalWeb"/>
        <w:jc w:val="both"/>
        <w:rPr>
          <w:rFonts w:asciiTheme="minorBidi" w:hAnsiTheme="minorBidi" w:cstheme="minorBidi"/>
          <w:color w:val="000000"/>
          <w:sz w:val="28"/>
          <w:szCs w:val="28"/>
          <w:rtl/>
        </w:rPr>
      </w:pPr>
    </w:p>
    <w:p w:rsidR="00FF1D7D" w:rsidRPr="006E1CD2" w:rsidRDefault="00FF1D7D"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ب. الإطار المؤسسي</w:t>
      </w:r>
    </w:p>
    <w:p w:rsidR="00764208" w:rsidRPr="006E1CD2" w:rsidRDefault="00FF1D7D"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45. تشعر اللجنة الفرعية بالقلق بشأن الولاية القضائية العسكرية التلقائية والحصرية في قضايا التعذيب وسوء المعاملة، خاصة عند</w:t>
      </w:r>
      <w:r w:rsidR="00072228" w:rsidRPr="006E1CD2">
        <w:rPr>
          <w:rFonts w:asciiTheme="minorBidi" w:hAnsiTheme="minorBidi" w:cstheme="minorBidi"/>
          <w:color w:val="000000"/>
          <w:sz w:val="28"/>
          <w:szCs w:val="28"/>
          <w:rtl/>
        </w:rPr>
        <w:t>ما يرتكبها قوات الأمن والشرطة و</w:t>
      </w:r>
      <w:r w:rsidRPr="006E1CD2">
        <w:rPr>
          <w:rFonts w:asciiTheme="minorBidi" w:hAnsiTheme="minorBidi" w:cstheme="minorBidi"/>
          <w:color w:val="000000"/>
          <w:sz w:val="28"/>
          <w:szCs w:val="28"/>
          <w:rtl/>
        </w:rPr>
        <w:t xml:space="preserve"> العسكريون ضد المدنيين. </w:t>
      </w:r>
      <w:r w:rsidR="00764208" w:rsidRPr="006E1CD2">
        <w:rPr>
          <w:rFonts w:asciiTheme="minorBidi" w:hAnsiTheme="minorBidi" w:cstheme="minorBidi"/>
          <w:color w:val="000000"/>
          <w:sz w:val="28"/>
          <w:szCs w:val="28"/>
          <w:rtl/>
        </w:rPr>
        <w:t>أن الشكاوى</w:t>
      </w:r>
      <w:r w:rsidRPr="006E1CD2">
        <w:rPr>
          <w:rFonts w:asciiTheme="minorBidi" w:hAnsiTheme="minorBidi" w:cstheme="minorBidi"/>
          <w:color w:val="000000"/>
          <w:sz w:val="28"/>
          <w:szCs w:val="28"/>
          <w:rtl/>
        </w:rPr>
        <w:t xml:space="preserve"> حتى إذا تم استلامها في البداية من قبل المدعي العام أو آليات أخرى، تُحال تلقائيًا إلى الولاية القضائية العسكرية إذا كانت هناك أدلة أولية تشير إلى أن مثل هذه الأعمال قد ارتكبها الموظفون العموميون المذكورون.</w:t>
      </w:r>
    </w:p>
    <w:p w:rsidR="00FF1D7D" w:rsidRPr="006E1CD2" w:rsidRDefault="00FF1D7D"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 xml:space="preserve"> بالإضافة إلى ذلك، لا يوجد آلية متابعة بشأن نتائج هذه الشكاوى بعد إحالتها إلى الولاية القضائية العسكرية.</w:t>
      </w:r>
    </w:p>
    <w:p w:rsidR="00FF1D7D" w:rsidRPr="006E1CD2" w:rsidRDefault="00FF1D7D" w:rsidP="00F00DB3">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46. يجب على الدولة الطرف تعديل إطارها القانوني لضمان أن تكون الولاية القضائية العسكرية مقيدة، ومطبقة فقط على أفراد القوات المسلحة. ويجب عليها ضمان أن يتم التحقيق مع المشتبه بهم في قضايا التعذيب وسوء المعاملة ومحاكمتهم من قبل المحاكم العادية بشكل نزيه. وينبغي أن تُجرى التحقيقات الأولية وجمع الأدلة من قبل السلطات المدنية. علاوة على ذلك، يجب على الدولة الطرف ضمان حصول ضحايا التعذيب وسوء المعاملة على سبل انتصاف فعالة في إطار الولاية العادية، بما في ذلك التعويض، التأهيل، التدابير</w:t>
      </w:r>
      <w:r w:rsidR="00027265" w:rsidRPr="006E1CD2">
        <w:rPr>
          <w:rFonts w:asciiTheme="minorBidi" w:hAnsiTheme="minorBidi" w:cstheme="minorBidi"/>
          <w:color w:val="000000"/>
          <w:sz w:val="28"/>
          <w:szCs w:val="28"/>
          <w:rtl/>
        </w:rPr>
        <w:t xml:space="preserve"> </w:t>
      </w:r>
      <w:r w:rsidRPr="006E1CD2">
        <w:rPr>
          <w:rFonts w:asciiTheme="minorBidi" w:hAnsiTheme="minorBidi" w:cstheme="minorBidi"/>
          <w:color w:val="000000"/>
          <w:sz w:val="28"/>
          <w:szCs w:val="28"/>
          <w:rtl/>
        </w:rPr>
        <w:t>، وضمانات عدم التكرار.</w:t>
      </w:r>
    </w:p>
    <w:p w:rsidR="00FF1D7D" w:rsidRPr="006E1CD2" w:rsidRDefault="00FF1D7D" w:rsidP="00B433AB">
      <w:pPr>
        <w:pStyle w:val="NormalWeb"/>
        <w:jc w:val="both"/>
        <w:rPr>
          <w:rFonts w:asciiTheme="minorBidi" w:hAnsiTheme="minorBidi" w:cstheme="minorBidi"/>
          <w:color w:val="000000"/>
          <w:sz w:val="28"/>
          <w:szCs w:val="28"/>
          <w:rtl/>
        </w:rPr>
      </w:pPr>
    </w:p>
    <w:p w:rsidR="00FF1D7D" w:rsidRPr="006E1CD2" w:rsidRDefault="00FF1D7D"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د. القضايا العامة</w:t>
      </w:r>
    </w:p>
    <w:p w:rsidR="00FF1D7D" w:rsidRPr="006E1CD2" w:rsidRDefault="00FF1D7D"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أ. تقنيات التحقيق</w:t>
      </w:r>
    </w:p>
    <w:p w:rsidR="00FF1D7D" w:rsidRPr="006E1CD2" w:rsidRDefault="00FF1D7D"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47. تشعر اللجنة الفرعية بقلق بالغ بشأن المعلومات التي تلقتها خلال زيارتها بشأن الوسائل غير القانونية وتقنيات التحقيق القسرية التي تستخدمها قوات الأمن أثناء التحقيقات، بما في ذلك الاعترافات التي تُنتزع تحت التعذيب أو سوء المعاملة، فضلاً عن أساليب الضغط الجسدي والنفسي المستخدمة على المشتبه بهم.</w:t>
      </w:r>
    </w:p>
    <w:p w:rsidR="00FF1D7D" w:rsidRPr="006E1CD2" w:rsidRDefault="00FF1D7D"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48. تحث اللجنة الفرعية الدولة الطرف على تبني تدابير فعالة لضمان أن الاعترافات والتصريحات والأدلة الأخرى التي يتم الحصول عليها من خلال التعذيب أو سوء المعاملة لا تُقبل كأدلة، باستثناء استخدامها ضد الشخص المتهم بالتعذيب كدليل على أن التصريح تم تحت الإكراه. ويجب على الدولة الطرف تطوير برامج تدريبية لجميع ضباط الشرطة وقوات الأمن حول تقنيات التحقيق والاستجواب غير القسرية، بما في ذلك مبادئ الاستجواب الفعّال لجمع المعلومات (مبادئ مينديز)، إدخال أدوات تحقيق متقدمة وإنشاء نظام قوي لجمع الأدلة الجنائية.</w:t>
      </w:r>
    </w:p>
    <w:p w:rsidR="00FF1D7D" w:rsidRPr="006E1CD2" w:rsidRDefault="00FF1D7D" w:rsidP="00B433AB">
      <w:pPr>
        <w:pStyle w:val="NormalWeb"/>
        <w:jc w:val="both"/>
        <w:rPr>
          <w:rFonts w:asciiTheme="minorBidi" w:hAnsiTheme="minorBidi" w:cstheme="minorBidi"/>
          <w:color w:val="000000"/>
          <w:sz w:val="28"/>
          <w:szCs w:val="28"/>
          <w:rtl/>
        </w:rPr>
      </w:pPr>
    </w:p>
    <w:p w:rsidR="00FF1D7D" w:rsidRPr="006E1CD2" w:rsidRDefault="00FF1D7D"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ب. آليات الشكاوى</w:t>
      </w:r>
    </w:p>
    <w:p w:rsidR="00FF1D7D" w:rsidRPr="006E1CD2" w:rsidRDefault="00FF1D7D"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49. تلاحظ اللجنة الفرعية أن الأشخاص المحرومين من حريتهم لديهم عدة قنوات لتقديم شكاوى بشأن التعذيب أو سوء المعاملة أو غيرها من الانتهاكات، بما في ذلك مع المدعين العامين المدنيين أو العسكريين، والقضاة، واللجنة المستقلة لحقوق الإنسان، ومكتب التظلمات وحقوق الإنسان، من خلال محامٍ أو العائلة، أو من خلال مدير السجن. علم الوفد أن مدير السجن يُبلغ دائمًا تقريبًا بأي شكاوى مقدمة، مما قد يعرض المشتكين للانتقام. وتشعر اللجنة الفرعية بقلق بالغ من أن العديد من المحتجزين قد لا يبلغون عن مرتكبي الانتهاكات، ولا سيما ضباط الشرطة وقوات الأمن، بسبب الخوف من المزيد من سوء المعاملة، الانتقام منهم أو من عائلاتهم، وغياب آليات الشكاوى الفعالة. كما تعرب عن أسفها لعدم وجود سجلات رسمية لمثل هذه الشكاوى.</w:t>
      </w:r>
    </w:p>
    <w:p w:rsidR="0091219C" w:rsidRPr="006E1CD2" w:rsidRDefault="0091219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لا تُجمع وتُسجل الشكاوى بشكل منهجي، وهناك معلومات قليلة عن نتائجها بعد إحالتها إلى الولاية القضائية العسكرية.</w:t>
      </w:r>
    </w:p>
    <w:p w:rsidR="0091219C" w:rsidRPr="006E1CD2" w:rsidRDefault="0091219C"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50. يجب على الدولة الطرف:</w:t>
      </w:r>
    </w:p>
    <w:p w:rsidR="0091219C" w:rsidRPr="006E1CD2" w:rsidRDefault="0091219C"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 xml:space="preserve">(أ) تعزيز فعالية آليات تقديم الشكاوى السرية المتعلقة بأعمال التعذيب وسوء المعاملة من خلال الهيئات المستقلة والنزيهة القائمة خارج إدارة إنفاذ القانون والسجون. ينبغي أن تتبع هذه الهيئة الإجراءات بشكل صحيح، وتتمتع بصلاحية التحقيق واتخاذ إجراءات حماية ومعالجة مناسبة. يجب أن تكون هذه الآليات متاحة وميسرة في جميع أماكن الحرمان من الحرية، مع نشر المعلومات بشكل شفاف على نطاق واسع. لا ينبغي لموظفي ومُديري المنشآت أن يلعبوا أي </w:t>
      </w:r>
      <w:r w:rsidR="00027265" w:rsidRPr="006E1CD2">
        <w:rPr>
          <w:rFonts w:asciiTheme="minorBidi" w:hAnsiTheme="minorBidi" w:cstheme="minorBidi"/>
          <w:color w:val="000000"/>
          <w:sz w:val="28"/>
          <w:szCs w:val="28"/>
          <w:rtl/>
        </w:rPr>
        <w:t>دور في جمع أو معرفة هذه الشكاوى.</w:t>
      </w:r>
    </w:p>
    <w:p w:rsidR="0091219C" w:rsidRPr="006E1CD2" w:rsidRDefault="0091219C"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lastRenderedPageBreak/>
        <w:t>(ب) ضمان عدم تعرض مقدمي هذه الشكاوى لأي شكل من أشكال الانتقام أو العقوبات، بما في ذلك العقوبات ا</w:t>
      </w:r>
      <w:r w:rsidR="00027265" w:rsidRPr="006E1CD2">
        <w:rPr>
          <w:rFonts w:asciiTheme="minorBidi" w:hAnsiTheme="minorBidi" w:cstheme="minorBidi"/>
          <w:color w:val="000000"/>
          <w:sz w:val="28"/>
          <w:szCs w:val="28"/>
          <w:rtl/>
        </w:rPr>
        <w:t>لجسدية أو التأديبية أو الإدارية.</w:t>
      </w:r>
    </w:p>
    <w:p w:rsidR="0091219C" w:rsidRPr="006E1CD2" w:rsidRDefault="0091219C"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(ج) إنشاء سجل مركزي للشكاوى التي تتلقاها آليات الشكاوى المختلفة، يشير إلى طبيعة الشكوى، المنشأة التي نشأت منها، الهيئة التي أبلغت عن هذه الشكوى، تاريخ الاستلام، تاريخ وطبيعة القرار الناتج وأي تدابير تم اتخاذها لتنفيذه. يجب أن يتم مراجعة هذا السجل بانتظام من قبل هيئة مستقلة.</w:t>
      </w:r>
    </w:p>
    <w:p w:rsidR="0091219C" w:rsidRPr="006E1CD2" w:rsidRDefault="0091219C" w:rsidP="00B433AB">
      <w:pPr>
        <w:pStyle w:val="NormalWeb"/>
        <w:jc w:val="both"/>
        <w:rPr>
          <w:rFonts w:asciiTheme="minorBidi" w:hAnsiTheme="minorBidi" w:cstheme="minorBidi"/>
          <w:color w:val="000000"/>
          <w:sz w:val="28"/>
          <w:szCs w:val="28"/>
          <w:rtl/>
        </w:rPr>
      </w:pPr>
    </w:p>
    <w:p w:rsidR="0091219C" w:rsidRPr="006E1CD2" w:rsidRDefault="0091219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ج. توثيق والتحقيق في أعمال التعذيب وسوء المعاملة</w:t>
      </w:r>
    </w:p>
    <w:p w:rsidR="0091219C" w:rsidRPr="006E1CD2" w:rsidRDefault="0091219C"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51. تأسف اللجنة الفرعية لأن السلطات لم تقدم بيانات شاملة حول عدد شكاوى التعذيب وسوء المعاملة المسجلة، وحول الإجراءات القانونية المتخذة ونتائجها. بالإضافة إلى ذلك، تبدو الأرقام المبلغ عنها منخفضة (من بين 279 شكوى تم تلقيها في عام 2022، تم فحص 154 ادعاءً بالتعذيب وسوء المعاملة، وتمت إحالة 13 حالة تعذيب إلى المحاكم العسكرية وما زالت قيد النظر أثناء الزيارة)، وهذا يتناقض بشدة مع المعلومات التي تلقتها اللجنة من مجموعة واسعة من المجتمع المدني وجهات أخرى بالإضافة إلى الأشخاص المحرومين من حريتهم الذين تمت مقابلتهم، مما يشير إلى أن العديد من الحالات لا يتم الإبلاغ عنها، وقد يوحي بأن الإفلات من العقاب على أعمال التعذيب لا يزال شائعًا.</w:t>
      </w:r>
    </w:p>
    <w:p w:rsidR="0091219C" w:rsidRPr="006E1CD2" w:rsidRDefault="0091219C"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52. علاوة على ذلك، تشعر اللجنة الفرعية بالقلق إزاء أوجه القصور في توثيق والتحقيق في قضايا التعذيب وسوء المعاملة. حتى عندما يتم تلقي هذه الشكاوى ويجمع المدعون العامون أدلة أولية تدعم الادعاءات، بما في ذلك الآراء الخبيرة، تُحال هذه القضايا تلقائيًا إلى الولاية القضائية العسكرية، كما ذُكر سابقًا. كما تشير اللجنة إلى المعلومات التي قدمتها السلطات خلال زيارتها عن وجود معهد الطب الشرعي، والتدريب المقدم للأطباء الشرعيين لتوثيق علامات التعذيب وسوء المعاملة وفقًا لمنهجية دليل التحقيق الفعال والتوثيق لأعمال التعذيب وغيره من ضروب المعاملة أو العقوبة القاسية أو اللاإنسانية أو المهينة (بروتوكول إسطنبول) ولكنها تأسف لعدم تطبيقه في الممارسة العملية.</w:t>
      </w:r>
    </w:p>
    <w:p w:rsidR="0091219C" w:rsidRPr="006E1CD2" w:rsidRDefault="0091219C"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53. تكرارًا لتوصية لجنة مناهضة التعذيب، يجب على الدولة الطرف مكافحة الإفلات من العقاب من خلال إجراء تحقيقات فورية ونزيهة وفعّالة في جميع ادعاءات التعذيب أو سوء المعاملة من قبل الشرطة وقوات الأمن. ويجب ضمان تقديم مرتكبي هذه الأعمال إلى العدالة وتوفير تعويض مناسب للضحايا. بالإضافة إلى ذلك، يجب على الدولة الطرف ضمان حصول القضاة والمدعين العامين والعاملين في القطاع الصحي وغيرهم ممن يشاركون في توثيق والتحقيق في التعذيب وسوء المعاملة على تدريب كافٍ حول النسخة المحدثة من بروتوكول إسطنبول. ويجب عليها تطوير برامج تدريب إلزامية حول تأهيل قضايا التعذيب وإجراء الفحوصات الطبية المتخصصة.</w:t>
      </w:r>
    </w:p>
    <w:p w:rsidR="0091219C" w:rsidRPr="006E1CD2" w:rsidRDefault="0091219C" w:rsidP="00B433AB">
      <w:pPr>
        <w:pStyle w:val="NormalWeb"/>
        <w:bidi/>
        <w:jc w:val="both"/>
        <w:rPr>
          <w:rFonts w:asciiTheme="minorBidi" w:hAnsiTheme="minorBidi" w:cstheme="minorBidi"/>
          <w:color w:val="000000"/>
          <w:sz w:val="28"/>
          <w:szCs w:val="28"/>
          <w:rtl/>
        </w:rPr>
      </w:pPr>
    </w:p>
    <w:p w:rsidR="0067396A" w:rsidRDefault="0067396A" w:rsidP="00B433AB">
      <w:pPr>
        <w:pStyle w:val="NormalWeb"/>
        <w:bidi/>
        <w:jc w:val="both"/>
        <w:rPr>
          <w:rFonts w:asciiTheme="minorBidi" w:hAnsiTheme="minorBidi" w:cstheme="minorBidi"/>
          <w:color w:val="000000"/>
          <w:sz w:val="28"/>
          <w:szCs w:val="28"/>
        </w:rPr>
      </w:pPr>
    </w:p>
    <w:p w:rsidR="00F00DB3" w:rsidRPr="006E1CD2" w:rsidRDefault="00F00DB3" w:rsidP="00F00DB3">
      <w:pPr>
        <w:pStyle w:val="NormalWeb"/>
        <w:bidi/>
        <w:jc w:val="both"/>
        <w:rPr>
          <w:rFonts w:asciiTheme="minorBidi" w:hAnsiTheme="minorBidi" w:cstheme="minorBidi"/>
          <w:color w:val="000000"/>
          <w:sz w:val="28"/>
          <w:szCs w:val="28"/>
        </w:rPr>
      </w:pPr>
    </w:p>
    <w:p w:rsidR="00352FEE" w:rsidRPr="006E1CD2" w:rsidRDefault="00352FEE" w:rsidP="00B433AB">
      <w:pPr>
        <w:pStyle w:val="NormalWeb"/>
        <w:bidi/>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lastRenderedPageBreak/>
        <w:t>أ. الشرطة وقوات الأمن</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54. في البداية، يلاحظ الفريق الفرعي وجود هيكل معقد وسلسلة قيادة للشرطة وقوات الأمن، حيث تتولى كل جهة مسؤولية أماكن مختلفة للاحتجاز. زار الفريق الفرعي منشآت تخضع لسلطة الشرطة المدنية الفلسطينية، وهي وكالة إنفاذ القانون الرئيسية في الضفة الغربية والتي تدير السجون أيضًا؛ وجهاز الأمن الوقائي الفلسطيني، وهو جهاز استخبارات داخلي يتبع لوزارة الداخلية؛ وجهاز المخابرات العامة، الذي يخضع مباشرة لسلطة الرئيس؛ وقوات اللجنة المشتركة، التي تضم مختلف أجهزة الاستخبارات الأمنية بما في ذلك الاستخبارات العسكرية. لاحظ الوفد أن عددًا من المنشآت التابعة لقوات الأمن كانت فارغة. وفي هذا الصدد، تلقى الفريق معلومات مقلقة تفيد بنقل المحتجزين إلى أماكن أخرى قبل زيارته.</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أ. مزاعم التعذيب وسوء المعاملة</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55. تلقى الوفد العديد من المزاعم حول التعذيب وسوء المعاملة أثناء القبض على الأفراد وفي فترة الاحتجاز الأولى، وخاصة أثناء التحقيق، من قبل جهاز الأمن الوقائي الفلسطيني، وجهاز المخابرات العامة، وقوات اللجنة المشتركة. تضمنت المزاعم ممارسات الشبح، الركل، اللكم، الإهانة، الإساءة اللفظية، الترهيب، الضغوط النفسية، والابتزاز، وغالبًا ما كانت تمتد إلى أفراد الأسرة. على سبيل المثال، تم استخدام الصور والمحادثات الشخصية المستخرجة من الهواتف للضغط على الأفراد المعتقلين، خصوصًا النساء، للاعتراف. كما تم اعتقال أفراد الأسرة، مثل الآباء أو الإخوة، تعسفيًا لإجبار المشتبه بهم على تسليم أنفسهم إلى مكاتب الأمن. قام الوفد بمراجعة ملفات طبية لعدة أفراد يدعون تعرضهم للتعذيب وسوء المعاملة، والتي وثقت الإصابات بالتفصيل عند دخولهم السجن. ومع ذلك، أعرب الفريق الفرعي عن أسفه لعدم بدء أي تحقيقات في هذه القضايا.</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56. يحث الفريق الفرعي الدولة الطرف على التحقيق في جميع مزاعم التعذيب وسوء المعاملة من خلال عمليات سريعة، نزيهة وفعّالة، ومقاضاة المسؤولين عنها. يجب أن يعاقب الأشخاص المدانون بأعمال التعذيب وسوء المعاملة بعقوبات تتناسب مع خطورة جرائمهم. كما يوصي الفريق الفرعي بأن يتم التعامل بشكل منهجي مع مزاعم التعذيب وسوء المعاملة، بالإضافة إلى الشكوك المتعلقة بمثل هذه الأفعال الناشئة عن إصابات ظاهرة و/أو الفحوصات الطبية. على الدولة الطرف أن تقدم بشكل دوري توجيهات واضحة لضباط الشرطة والأمن بشأن الحظر المطلق وغير القابل للتقييد على التعذيب وسوء المعاملة، وضمان إدماج هذا الحظر في أي قواعد عامة أو تعليمات صادرة بشأن واجبات ووظائف أفراد الشرطة والأمن.</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ب. الضمانات القانونية الأساسية</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 xml:space="preserve">57. بينما يعترف الفريق الفرعي بالإطار القانوني الحالي الذي يشمل الضمانات القانونية الأساسية (القانون الأساسي لعام 2003 وقانون الإجراءات الجزائية لعام 2001)، فإنه يردد مخاوف لجنة مناهضة التعذيب بشأن أوجه القصور المكتشفة في القانون والممارسة، ولا سيما المادتين 97 و98 من قانون الإجراءات الجزائية. تتيح هاتان المادتان استجواب المحتجزين دون وجود محامٍ “في حالة الجريمة المشهودة، أو الضرورة، أو الاستعجال، أو الخوف من ضياع الأدلة”. علاوة على ذلك، </w:t>
      </w:r>
      <w:r w:rsidRPr="006E1CD2">
        <w:rPr>
          <w:rFonts w:asciiTheme="minorBidi" w:hAnsiTheme="minorBidi" w:cstheme="minorBidi"/>
          <w:color w:val="000000"/>
          <w:sz w:val="28"/>
          <w:szCs w:val="28"/>
          <w:rtl/>
        </w:rPr>
        <w:lastRenderedPageBreak/>
        <w:t>كشفت جميع المقابلات التي أجراها الوفد تقريبًا عن مشكلات منهجية يواجهها المحتجزون خلال المراحل الأولى من الاحتجاز:</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(أ) كان الحق في الحصول على معلومات حول حقوقهم عند القبض عليهم، بما في ذلك الحق في التزام الصمت، وإبلاغ الأسرة أو طرف ثالث بالقبض عليهم، وطلب المساعدة القانونية، مصدر قلق رئيسي. لاحظ الوفد وجود لوحات معلومات تشرح حقوق المحتجزين في المنشآت التي زارها، لكن لم يتمكن أي من الأشخاص الذين تمت مقابلتهم من الوصول الفعلي إلى هذه اللوحات.</w:t>
      </w:r>
    </w:p>
    <w:p w:rsidR="00622EE7" w:rsidRPr="006E1CD2" w:rsidRDefault="00622EE7" w:rsidP="00B433AB">
      <w:pPr>
        <w:pStyle w:val="NormalWeb"/>
        <w:bidi/>
        <w:jc w:val="both"/>
        <w:rPr>
          <w:rFonts w:asciiTheme="minorBidi" w:hAnsiTheme="minorBidi" w:cstheme="minorBidi"/>
          <w:color w:val="000000"/>
          <w:sz w:val="28"/>
          <w:szCs w:val="28"/>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(ب) المعلومات المتعلقة بأسباب الاعتقال لم تُقدّم للمحتجزين. علاوة على ذلك، عندما قُدّمت تلك الأسباب، كانت غالبًا تختلف عن التهم الفعلية التي وُجهت لاحقًا ضد المحتجزين.</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(ج) لم يُضمن الوصول إلى محامٍ إلا بعد مرور 24 ساعة على الاعتقال، وبعد إجراء أول استجواب. وقد امتدت فترة الحرمان من هذا الحق إلى 15 يومًا في بعض الحالات. وزعم بعض الذين أُجريت معهم المقابلات أنهم التقوا بمحاميهم لأول مرة في المحكمة.</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(د) كانت الاستجوابات تُجرى بانتظام في غياب محامٍ، ولم تُسجل صوتيًا أو بالفيديو، وغالبًا ما كانت الاعترافات تُنتزع تحت الإكراه.</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(هـ) لم يكن الحصول على طبيب مضمونًا دائمًا عند الاحتجاز، وعندما أُجريت الفحوصات الطبية، كانت تتم دائمًا بحضور ضابط شرطة أو أمن. بالإضافة إلى ذلك، خضعت النساء لفحص حمل بشكل روتيني بدلاً من إجراء فحص طبي مناسب.</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(و) تجاوزت مدة الحبس الاحتياطي لدى الشرطة، التي يُفترض قانونيًا أن تكون محدودة بـ24 ساعة قابلة للتمديد لمدة 48 ساعة أخرى بعد القبض، بشكل كبير. في بعض الحالات، أفاد الأشخاص الذين قابلهم الوفد بأنهم احتُجزوا في منشآت تابعة لجهاز المخابرات العامة أو الأمن الوقائي لفترة تراوحت بين أربعة وستة أشهر أو أكثر.</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التوصيات:</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58. يوصي الفريق الفرعي بأن تقوم الدولة الطرف بما يلي:</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(أ) ضمان إبلاغ جميع الأشخاص الذين يتم اعتقالهم فورًا بأسباب اعتقالهم وحقوقهم، وضمان تمكين جميع الأشخاص المحرومين من حريتهم من إبلاغ أحد أفراد الأسرة أو شخص يختارونه عن احتجازهم دون تأخير.</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lastRenderedPageBreak/>
        <w:t>(ب) تعديل التشريعات لضمان تمكين جميع الأشخاص المحرومين من حريتهم من الاتصال بمحامٍ من اختيارهم أو الحصول على مساعدة قانونية مجانية فور اعتقالهم، ما لم تكن هناك أسباب مشروعة تمنعهم من الاتصال بمحامٍ معين، وفي هذه الحالة يمكن اختيار بديل؛ وضمان حضور المحامي أثناء الاستجواب.</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(ج) جعل تسجيل المقابلات المتعلقة بالتحقيقات الجنائية صوتيًا ومرئيًا إلزاميًا كضمان أساسي لمنع التعذيب وسوء المعاملة، وكذلك لحماية أفراد الشرطة والأمن من الادعاءات التي لا أساس لها. وينبغي حفظ التسجيلات في منشآت مركزية آمنة لفترة كافية ليتم استخدامها كأدلة، وإتاحتها للمحققين والمحتجزين والمحامين عند الطلب.</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(د) ضمان الحق في طلب وتلقي الرعاية الصحية المناسبة، بما في ذلك إجراء فحص طبي من قبل طبيب مستقل مجانًا، أو من قبل طبيب يختاره المحتجز بناءً على طلبه، مع احترام سرية الفحوصات الطبية.</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(هـ) ضمان ألا تتجاوز مدة الحبس الاحتياطي لدى الشرطة 48 ساعة، وأن تُجدد مرة واحدة فقط في حالات استثنائية مبررة بأدلة ملموسة، مع الالتزام الصارم بذلك ومراقبته بشكل دقيق من قبل السلطات المعنية، بما في ذلك المراجعة القضائية الفعّالة للاحتجاز.</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ج. السجلات</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59. يلاحظ الفريق الفرعي أنه وفقًا للسلطات، تم اعتماد سجلات إلكترونية لتوثيق حالات الاحتجاز منذ عام 2021. ومع ذلك، واجه الوفد صعوبات في التحقق من ذلك في عدة منشآت. ففي جهاز المخابرات العامة في أريحا، لم تكن السجلات الإلكترونية متوفرة، وكانت الملفات الورقية مقفلة في أرشيف لا يمكن الوصول إليه إلا من قِبل المدير الغائب. كما تم رفض منح الوفد الوصول إلى المجلدات الورقية في مكتب المدير. وفي رام الله، شاهد الوفد النظام الإلكتروني لكنه لم يتمكن من الحصول على معلومات أساسية عن دخول المحتجزين وخروجهم أو نقلهم أو مدة احتجازهم. بالإضافة إلى ذلك، لم يتم الاحتفاظ بأي سجل ورقي.</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التوصيات:</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60. يوصي الفريق الفرعي بأن تلتزم جميع قوات الشرطة والأمن بالاحتفاظ بسجلات مناسبة وموحدة تتيح جمع المعلومات وتسجيلها بطريقة دقيقة ومنظمة.</w:t>
      </w: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lastRenderedPageBreak/>
        <w:t>ب. معلومات عن أسباب الاعتقال، الوقت والتاريخ الدقيقين لبداية الاحتجاز، مدته، تاريخ نهايته، هوية الشخص المحتجز والضابط الذي وافق على الاحتجاز، تفاصيل حول مكان الاحتجاز، توقيت أول مثول أمام السلطة القضائية، تمديد الاحتجاز بما في ذلك مدته، والجهة التي اتخذت قرار التمديد.</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ينبغي أن تكون هذه السجلات، سواء كانت إلكترونية أو ورقية، متاحة بسهولة. كما يجب أن يتحمل كبار ضباط الشرطة والأمن مسؤولية صيانة السجلات، وأن يتلقى جميع الضباط تدريبًا مناسبًا على حفظ السجلات.</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د. ظروف الاحتجاز</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61. لاحظ الفريق الفرعي أن الظروف المادية في معظم منشآت الشرطة وقوات الأمن كانت متدهورة.</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كانت تفتقر إلى مرافق صحية مناسبة، وكانت الزنازين مظلمة، بدون ضوء طبيعي أو هواء نقي، وتحتوي فقط على مراتب وأغطية قذرة على الأرض.</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أما المنشأة الجديدة لجهاز المخابرات العامة في رام الله، التي افتُتحت في عام 2023، فقد كانت تتمتع بظروف صحية مرضية لكنها لم تتوافق بالكامل مع المعايير الدولية.</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كانت الزنازين صغيرة (أقل من 4 م² في المتوسط)، تحتوي على مرتبة فقط، بدون مرافق صحية، ولا ضوء طبيعي أو هواء نقي، وكان الوصول إلى الفناء محدودًا. بالإضافة إلى ذلك، ذُكر أن الأضواء الاصطناعية كانت تُترك مضاءة دائمًا، خصوصًا في الزنازين الفردية التابعة لجهاز المخابرات العامة والأمن الوقائي، مما قد يصل إلى حد التعذيب أو سوء المعاملة.</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62. علاوة على ذلك، رصد الوفد اكتظاظًا شديدًا في منشآت الأمن الوقائي في بيت لحم ومركز شرطة البالوع في رام الله.</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على سبيل المثال، وجد الوفد حوالي 12 محتجزًا يتشاركون زنزانة بمساحة تقل عن 22 م² تحتوي على مرفق صحي واحد في حالة يرثى لها. ويرى الفريق الفرعي أن ظروف الاحتجاز في هذين الموقعين يمكن أن تصل إلى حد المعاملة القاسية أو اللاإنسانية أو المهينة.</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63. فيما يتعلق بالطعام المقدم في منشآت الشرطة وقوات الأمن، وردت شكاوى حول جودته.</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في بعض المنشآت، اضطر المحتجزون لشراء مياه معبأة لأن المياه الجارية لم تكن صالحة للشرب.</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64. ينبغي للدولة الطرف اتخاذ تدابير فورية لتحسين الظروف المادية لمنشآت احتجاز الشرطة وقوات الأمن من خلال:</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lastRenderedPageBreak/>
        <w:t>(أ) ضمان أن تكون الزنازين نظيفة ومهواة وتحظى بإضاءة طبيعية كافية؛</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(ب) توفير مراتب وأغطية مناسبة؛</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(ج) ضمان حصول الأشخاص المحتجزين على مياه صالحة للشرب، ومرافق صحية، ودُشّات، وفرصة للحصول على هواء نقي داخل المنشآت.</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65. يحث الفريق الفرعي الدولة الطرف على التوقف عن ترك الأضواء الاصطناعية مضاءة دائمًا في الزنازين، والسماح للمحتجزين بتحديد متى يريدون تشغيل الإضاءة، كما هو الحال في منشآت جهاز المخابرات العامة والأمن الوقائي، وتوفير إمكانية الوصول إلى ضوء طبيعي والفناء الخارجي.</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66. يوصي الفريق الفرعي كذلك بأن تتخذ الدولة الطرف تدابير قوية لتقليل الاكتظاظ في منشآت الأمن الوقائي في بيت لحم ومركز شرطة البالوع في رام الله وتحسين ظروف الاحتجاز فيهما، خصوصًا من خلال ضمان حصول المحتجزين على مساحة معقولة ومرتبة للنوم.</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هـ. الأشخاص في أوضاع هشة</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67. يعرب الفريق الفرعي عن قلقه البالغ بشأن وضع كبار السن والأشخاص ذوي الإعاقة المحتجزين، لا سيما في منشأة الأمن الوقائي في بيت لحم.</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وجد الوفد حوالي 17 شخصًا يتشاركون زنزانة تبلغ مساحتها حوالي 30 م²، بما في ذلك شخص ذو إعاقة لم يُقدم له أي ترتيبات معقولة تناسب احتجازه.</w:t>
      </w:r>
    </w:p>
    <w:p w:rsidR="00AF4C39" w:rsidRPr="006E1CD2" w:rsidRDefault="00AF4C39" w:rsidP="00B433AB">
      <w:pPr>
        <w:pStyle w:val="NormalWeb"/>
        <w:jc w:val="both"/>
        <w:rPr>
          <w:rFonts w:asciiTheme="minorBidi" w:hAnsiTheme="minorBidi" w:cstheme="minorBidi"/>
          <w:color w:val="000000"/>
          <w:sz w:val="28"/>
          <w:szCs w:val="28"/>
          <w:rtl/>
        </w:rPr>
      </w:pPr>
    </w:p>
    <w:p w:rsidR="00AF4C39" w:rsidRPr="006E1CD2" w:rsidRDefault="00AF4C39"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68. زار الفريق الفرعي مركز شرطة واحد لاحتجاز الأطفال المتورطين في نزاعات مع القانون في الخليل.</w:t>
      </w:r>
    </w:p>
    <w:p w:rsidR="00AF4C39" w:rsidRPr="006E1CD2" w:rsidRDefault="00AF4C39"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في وقت الزيارة، لم يكن هناك أطفال محتجزون. ومع ذلك، فإن…</w:t>
      </w:r>
    </w:p>
    <w:p w:rsidR="00AF4C39" w:rsidRPr="006E1CD2" w:rsidRDefault="00AF4C39" w:rsidP="00B433AB">
      <w:pPr>
        <w:pStyle w:val="NormalWeb"/>
        <w:bidi/>
        <w:jc w:val="both"/>
        <w:rPr>
          <w:rFonts w:asciiTheme="minorBidi" w:hAnsiTheme="minorBidi" w:cstheme="minorBidi"/>
          <w:color w:val="000000"/>
          <w:sz w:val="28"/>
          <w:szCs w:val="28"/>
        </w:rPr>
      </w:pPr>
    </w:p>
    <w:p w:rsidR="00AF4C39" w:rsidRPr="006E1CD2" w:rsidRDefault="00AF4C39" w:rsidP="00B433AB">
      <w:pPr>
        <w:pStyle w:val="NormalWeb"/>
        <w:bidi/>
        <w:jc w:val="both"/>
        <w:rPr>
          <w:rFonts w:asciiTheme="minorBidi" w:hAnsiTheme="minorBidi" w:cstheme="minorBidi"/>
          <w:color w:val="000000"/>
          <w:sz w:val="28"/>
          <w:szCs w:val="28"/>
        </w:rPr>
      </w:pPr>
    </w:p>
    <w:p w:rsidR="00574F68" w:rsidRPr="006E1CD2" w:rsidRDefault="00574F68"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لاحظ الوفد بيئة غير ملائمة عمومًا لاحتجاز الأطفال، بما في ذلك الزنازين المظلمة والفارغة، فضلاً عن وجود ضباط شرطة مسلحين بشدة داخل المنشآت.</w:t>
      </w:r>
    </w:p>
    <w:p w:rsidR="00574F68" w:rsidRPr="006E1CD2" w:rsidRDefault="00574F68" w:rsidP="00B433AB">
      <w:pPr>
        <w:pStyle w:val="NormalWeb"/>
        <w:jc w:val="both"/>
        <w:rPr>
          <w:rFonts w:asciiTheme="minorBidi" w:hAnsiTheme="minorBidi" w:cstheme="minorBidi"/>
          <w:sz w:val="28"/>
          <w:szCs w:val="28"/>
          <w:rtl/>
        </w:rPr>
      </w:pPr>
    </w:p>
    <w:p w:rsidR="00574F68" w:rsidRPr="006E1CD2" w:rsidRDefault="00574F68"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lastRenderedPageBreak/>
        <w:t>69. يوصي الفريق الفرعي بأن تتخذ الدولة الطرف جميع التدابير اللازمة لضمان مراعاة المتطلبات الخاصة والاحتياجات الفردية للأطفال، وكبار السن المحتجزين، والأشخاص المحتجزين من ذوي الإعاقة. كما ينبغي توفير ترتيبات معقولة ودعم فردي ورعاية حسب الحاجة.</w:t>
      </w:r>
    </w:p>
    <w:p w:rsidR="00574F68" w:rsidRPr="006E1CD2" w:rsidRDefault="00574F68"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ينبغي للدولة الطرف أن تضاعف جهودها لاستخدام البدائل لاحتجاز الحرية قدر الإمكان لهذه الفئات من المحتجزين.</w:t>
      </w:r>
    </w:p>
    <w:p w:rsidR="00574F68" w:rsidRPr="006E1CD2" w:rsidRDefault="00574F68" w:rsidP="00B433AB">
      <w:pPr>
        <w:pStyle w:val="NormalWeb"/>
        <w:jc w:val="both"/>
        <w:rPr>
          <w:rFonts w:asciiTheme="minorBidi" w:hAnsiTheme="minorBidi" w:cstheme="minorBidi"/>
          <w:sz w:val="28"/>
          <w:szCs w:val="28"/>
          <w:rtl/>
        </w:rPr>
      </w:pPr>
    </w:p>
    <w:p w:rsidR="00574F68" w:rsidRPr="006E1CD2" w:rsidRDefault="00574F68"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ب. السجون</w:t>
      </w:r>
    </w:p>
    <w:p w:rsidR="00574F68" w:rsidRPr="006E1CD2" w:rsidRDefault="00574F68" w:rsidP="00B433AB">
      <w:pPr>
        <w:pStyle w:val="NormalWeb"/>
        <w:jc w:val="both"/>
        <w:rPr>
          <w:rFonts w:asciiTheme="minorBidi" w:hAnsiTheme="minorBidi" w:cstheme="minorBidi"/>
          <w:sz w:val="28"/>
          <w:szCs w:val="28"/>
          <w:rtl/>
        </w:rPr>
      </w:pPr>
    </w:p>
    <w:p w:rsidR="00574F68" w:rsidRPr="006E1CD2" w:rsidRDefault="00574F68"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أ. مخاوف عامة</w:t>
      </w:r>
    </w:p>
    <w:p w:rsidR="00574F68" w:rsidRPr="006E1CD2" w:rsidRDefault="00574F68"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70. يشير الفريق الفرعي إلى أن الصراع الإسرائيلي-الفلسطيني تسبب في توترات وعنف، مما أدى إلى عمليات اعتقال جماعية أحيانًا، وهو ما أثر سلبًا على أوضاع الأشخاص المحرومين من الحرية في سجون الدولة الطرف.</w:t>
      </w:r>
    </w:p>
    <w:p w:rsidR="00574F68" w:rsidRPr="006E1CD2" w:rsidRDefault="00574F68"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غالبًا ما تحدث الحوادث والاعتقالات في مدن مختلفة عن تلك التي يتم نقل المحتجزين إليها وتوجيه التهم إليهم. تؤدي نقاط التفتيش التي لا تُحصى وقيود الحركة بين المناطق إلى صعوبات كبيرة في نقل ملفات القضايا، والمستندات، والشهود، مما يزيد من التأخير المزمن في الإجراءات القضائية، خاصة للمحتجزين قيد المحاكمة.</w:t>
      </w:r>
    </w:p>
    <w:p w:rsidR="00574F68" w:rsidRPr="006E1CD2" w:rsidRDefault="00574F68" w:rsidP="00B433AB">
      <w:pPr>
        <w:pStyle w:val="NormalWeb"/>
        <w:jc w:val="both"/>
        <w:rPr>
          <w:rFonts w:asciiTheme="minorBidi" w:hAnsiTheme="minorBidi" w:cstheme="minorBidi"/>
          <w:sz w:val="28"/>
          <w:szCs w:val="28"/>
          <w:rtl/>
        </w:rPr>
      </w:pPr>
    </w:p>
    <w:p w:rsidR="00574F68" w:rsidRPr="006E1CD2" w:rsidRDefault="00574F68"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71. علاوة على ذلك، يعرب الفريق الفرعي عن قلقه إزاء ما يبدو أنه استخدام الاحتجاز السابق للمحاكمة كقاعدة بدلاً من كونه استثناءً.</w:t>
      </w:r>
    </w:p>
    <w:p w:rsidR="00574F68" w:rsidRPr="006E1CD2" w:rsidRDefault="00574F68"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يثير القلق بشكل خاص الشهادات التي تفيد بأن بعض الأشخاص قضوا وقتًا أطول في الحبس الاحتياطي مما كانوا سيقضونه لو نُفذت الأحكام الموجهة إليهم.</w:t>
      </w:r>
    </w:p>
    <w:p w:rsidR="00574F68" w:rsidRPr="006E1CD2" w:rsidRDefault="00574F68"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وفقًا لنتائج الوفد، يقضي عدد كبير من الأشخاص سنوات في السجون دون صدور حكم قضائي، وكثير منهم لا يعلمون بوضعهم القضائي.</w:t>
      </w:r>
    </w:p>
    <w:p w:rsidR="00574F68" w:rsidRPr="006E1CD2" w:rsidRDefault="00574F68"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بعضهم متهم بـ”الدعوة للإرهاب”، بينما يُحتجز آخرون لمنع اعتقالهم من قبل السلطات الإسرائيلية. وقد لجأ كثير منهم إلى الإضراب عن الطعام كوسيلة احتجاج، مطالبين إما بمحاكمتهم أو إطلاق سراحهم. ويرى الفريق الفرعي أن الاستخدام الممنهج للحبس الاحتياطي، بالإضافة إلى كونه سببًا رئيسيًا للاكتظاظ، هو مؤشر على نظام قضائي مختل.</w:t>
      </w:r>
    </w:p>
    <w:p w:rsidR="00574F68" w:rsidRPr="006E1CD2" w:rsidRDefault="00574F68" w:rsidP="00B433AB">
      <w:pPr>
        <w:pStyle w:val="NormalWeb"/>
        <w:jc w:val="both"/>
        <w:rPr>
          <w:rFonts w:asciiTheme="minorBidi" w:hAnsiTheme="minorBidi" w:cstheme="minorBidi"/>
          <w:sz w:val="28"/>
          <w:szCs w:val="28"/>
          <w:rtl/>
        </w:rPr>
      </w:pPr>
    </w:p>
    <w:p w:rsidR="00574F68" w:rsidRPr="006E1CD2" w:rsidRDefault="00574F68"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72. يلاحظ الفريق الفرعي أيضًا بقلق أن المحتجزين الذين وُجدت احتجازاتهم تعسفية لديهم وسائل قليلة، إن وجدت، للمطالبة بتعويضات عن هذا الاحتجاز التعسفي.</w:t>
      </w:r>
    </w:p>
    <w:p w:rsidR="00574F68" w:rsidRPr="006E1CD2" w:rsidRDefault="00574F68"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lastRenderedPageBreak/>
        <w:t>تلقى الوفد بعض الادعاءات بأن من يقدمون مثل هذه الطلبات غالبًا ما يواجهون تهماً ملفقة أخرى بغرض ترهيبهم وثنيهم عن المطالبة بمثل هذه التعويضات.</w:t>
      </w:r>
    </w:p>
    <w:p w:rsidR="00574F68" w:rsidRPr="006E1CD2" w:rsidRDefault="00574F68" w:rsidP="00B433AB">
      <w:pPr>
        <w:pStyle w:val="NormalWeb"/>
        <w:jc w:val="both"/>
        <w:rPr>
          <w:rFonts w:asciiTheme="minorBidi" w:hAnsiTheme="minorBidi" w:cstheme="minorBidi"/>
          <w:sz w:val="28"/>
          <w:szCs w:val="28"/>
          <w:rtl/>
        </w:rPr>
      </w:pPr>
    </w:p>
    <w:p w:rsidR="00574F68" w:rsidRPr="006E1CD2" w:rsidRDefault="00574F68"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73. أخيرًا، ناقش الوفد مع عدد من سلطات السجون نظام الكفالة القائم، الذي يبدو مع ذلك غير متاح ونادر الاستخدام.</w:t>
      </w:r>
    </w:p>
    <w:p w:rsidR="00574F68" w:rsidRPr="006E1CD2" w:rsidRDefault="00574F68"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يلاحظ الفريق الفرعي أيضًا بقلق أن البدائل الأخرى للاحتجاز غير مُطبقة.</w:t>
      </w:r>
    </w:p>
    <w:p w:rsidR="00574F68" w:rsidRPr="006E1CD2" w:rsidRDefault="00574F68" w:rsidP="00B433AB">
      <w:pPr>
        <w:pStyle w:val="NormalWeb"/>
        <w:jc w:val="both"/>
        <w:rPr>
          <w:rFonts w:asciiTheme="minorBidi" w:hAnsiTheme="minorBidi" w:cstheme="minorBidi"/>
          <w:sz w:val="28"/>
          <w:szCs w:val="28"/>
          <w:rtl/>
        </w:rPr>
      </w:pPr>
    </w:p>
    <w:p w:rsidR="00574F68" w:rsidRPr="006E1CD2" w:rsidRDefault="00574F68"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74. يجب على الدولة الطرف استخدام الاحتجاز فقط كإجراء أخير.</w:t>
      </w:r>
    </w:p>
    <w:p w:rsidR="00574F68" w:rsidRPr="006E1CD2" w:rsidRDefault="00574F68"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يجب أن يستند الحبس الاحتياطي إلى قرار فردي حيث يوجد شك معقول (بشأن ارتكاب الشخص للجريمة)، وحيث يكون الاحتجاز ضروريًا ومتناسبًا لمنع الشخص من الهرب، أو ارتكاب جريمة أخرى، أو التدخل في سير العدالة.</w:t>
      </w:r>
    </w:p>
    <w:p w:rsidR="00574F68" w:rsidRPr="006E1CD2" w:rsidRDefault="00574F68"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يحُث الفريق الفرعي الدولة الطرف على استخدام البدائل للاحتجاز بسهولة أكبر، مثل الكفالة، والوساطة، والإقامة الجبرية، وأجهزة المراقبة الإلكترونية، بما يتماشى مع قواعد الأمم المتحدة النموذجية الدنيا للتدابير غير الاحتجازية (قواعد طوكيو).</w:t>
      </w:r>
    </w:p>
    <w:p w:rsidR="00E167CF" w:rsidRPr="006E1CD2" w:rsidRDefault="00E167CF" w:rsidP="00B433AB">
      <w:pPr>
        <w:pStyle w:val="NormalWeb"/>
        <w:bidi/>
        <w:jc w:val="both"/>
        <w:rPr>
          <w:rFonts w:asciiTheme="minorBidi" w:hAnsiTheme="minorBidi" w:cstheme="minorBidi"/>
          <w:color w:val="000000"/>
          <w:sz w:val="28"/>
          <w:szCs w:val="28"/>
        </w:rPr>
      </w:pPr>
    </w:p>
    <w:p w:rsidR="00C77BA1" w:rsidRPr="006E1CD2" w:rsidRDefault="00C77BA1"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قد يؤدي هذا التدريب إلى زيادة خطر العنف بين المحتجزين أو تجاه موظفي المنشأة.</w:t>
      </w:r>
    </w:p>
    <w:p w:rsidR="00C77BA1" w:rsidRPr="006E1CD2" w:rsidRDefault="00C77BA1" w:rsidP="00B433AB">
      <w:pPr>
        <w:pStyle w:val="NormalWeb"/>
        <w:jc w:val="both"/>
        <w:rPr>
          <w:rFonts w:asciiTheme="minorBidi" w:hAnsiTheme="minorBidi" w:cstheme="minorBidi"/>
          <w:sz w:val="28"/>
          <w:szCs w:val="28"/>
          <w:rtl/>
        </w:rPr>
      </w:pPr>
    </w:p>
    <w:p w:rsidR="00C77BA1" w:rsidRPr="006E1CD2" w:rsidRDefault="00C77BA1"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76. وفقًا للمادة 10 من العهد الدولي الخاص بالحقوق المدنية والسياسية والقاعدة 11 من القواعد النموذجية الدنيا للأمم المتحدة لمعاملة السجناء (قواعد نيلسون مانديلا)، يوصي الفريق الفرعي بأن تضمن الدولة الطرف فصل الفئات المختلفة من النزلاء في أقسام منفصلة داخل المؤسسة، ولا سيما أن:</w:t>
      </w:r>
    </w:p>
    <w:p w:rsidR="00C77BA1" w:rsidRPr="006E1CD2" w:rsidRDefault="00C77BA1"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(أ) يتم فصل المحتجزين قيد المحاكمة عن السجناء المحكوم عليهم، مع مراعاة أن المحتجزين قيد المحاكمة يجب أن يخضعوا لنظام يتناسب مع وضعهم كأشخاص غ</w:t>
      </w:r>
      <w:r w:rsidR="00B96AA6">
        <w:rPr>
          <w:rFonts w:asciiTheme="minorBidi" w:hAnsiTheme="minorBidi" w:cstheme="minorBidi"/>
          <w:sz w:val="28"/>
          <w:szCs w:val="28"/>
          <w:rtl/>
        </w:rPr>
        <w:t>ير مدانين</w:t>
      </w:r>
    </w:p>
    <w:p w:rsidR="00C77BA1" w:rsidRPr="006E1CD2" w:rsidRDefault="00C77BA1"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(ب) يتم فصل الأشخاص دون سن 18 عامًا عن المحتجزين البالغين.</w:t>
      </w:r>
    </w:p>
    <w:p w:rsidR="00C77BA1" w:rsidRPr="006E1CD2" w:rsidRDefault="00C77BA1"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بالإضافة إلى ذلك، ينبغي تكييف جميع مرافق التوقيف والسجون لتلبية احتياجات الأشخاص ذوي الإعاقة، وتوفير الترتيبات المعقولة والدعم المطلوب. كما يجب أن يحصل المحتجزون الذين يعانون من الإدمان على العلاج داخل المرافق المتخصصة، وعند الضرورة، ينبغي نقلهم من أماكن الاحتجاز إلى مراكز متخصصة لتلقي خدمات الرعاية والعلاج الخاص.</w:t>
      </w:r>
    </w:p>
    <w:p w:rsidR="00C77BA1" w:rsidRPr="006E1CD2" w:rsidRDefault="00C77BA1" w:rsidP="00B433AB">
      <w:pPr>
        <w:pStyle w:val="NormalWeb"/>
        <w:jc w:val="both"/>
        <w:rPr>
          <w:rFonts w:asciiTheme="minorBidi" w:hAnsiTheme="minorBidi" w:cstheme="minorBidi"/>
          <w:sz w:val="28"/>
          <w:szCs w:val="28"/>
          <w:rtl/>
        </w:rPr>
      </w:pPr>
    </w:p>
    <w:p w:rsidR="00C77BA1" w:rsidRPr="006E1CD2" w:rsidRDefault="00C77BA1"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lastRenderedPageBreak/>
        <w:t>ب. ادعاءات التعذيب وسوء المعاملة</w:t>
      </w:r>
    </w:p>
    <w:p w:rsidR="00C77BA1" w:rsidRPr="006E1CD2" w:rsidRDefault="00C77BA1" w:rsidP="00B433AB">
      <w:pPr>
        <w:pStyle w:val="NormalWeb"/>
        <w:jc w:val="both"/>
        <w:rPr>
          <w:rFonts w:asciiTheme="minorBidi" w:hAnsiTheme="minorBidi" w:cstheme="minorBidi"/>
          <w:sz w:val="28"/>
          <w:szCs w:val="28"/>
          <w:rtl/>
        </w:rPr>
      </w:pPr>
    </w:p>
    <w:p w:rsidR="00C77BA1" w:rsidRPr="006E1CD2" w:rsidRDefault="00C77BA1"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77. لم يتلقَ الوفد أي ادعاءات بشأن التعذيب أو سوء المعاملة في مراكز الإصلاح والتأهيل (السجون). ومعظم الشكاوى المتعلقة بمثل هذه الأفعال كانت تشير إلى المراحل الأولى من الاحتجاز والتحقيق، كما ورد أعلاه.</w:t>
      </w:r>
    </w:p>
    <w:p w:rsidR="00C77BA1" w:rsidRPr="006E1CD2" w:rsidRDefault="00C77BA1"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ومع ذلك، تلقى الفريق الفرعي معلومات تفيد بوجود عنف، بما في ذلك العنف بين السجناء، داخل السجون. وقد لاحظ أن نظام “الشاويش” (قائد الزنزانة) يفرض نوعًا من السيطرة والصمت العام، مما يسهم في خلق بيئة تمر فيها ادعاءات التعذيب وسوء المعاملة دون الإبلاغ عنها.</w:t>
      </w:r>
    </w:p>
    <w:p w:rsidR="00C77BA1" w:rsidRPr="006E1CD2" w:rsidRDefault="00C77BA1" w:rsidP="00B433AB">
      <w:pPr>
        <w:pStyle w:val="NormalWeb"/>
        <w:jc w:val="both"/>
        <w:rPr>
          <w:rFonts w:asciiTheme="minorBidi" w:hAnsiTheme="minorBidi" w:cstheme="minorBidi"/>
          <w:sz w:val="28"/>
          <w:szCs w:val="28"/>
          <w:rtl/>
        </w:rPr>
      </w:pPr>
    </w:p>
    <w:p w:rsidR="00C77BA1" w:rsidRPr="006E1CD2" w:rsidRDefault="00C77BA1"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78. يوصي الفريق الفرعي بأن تقوم سلطات السجون بتطوير سياسة لإدارة العنف في السجون، بما في ذلك العنف بين السجناء.</w:t>
      </w:r>
    </w:p>
    <w:p w:rsidR="00C77BA1" w:rsidRPr="006E1CD2" w:rsidRDefault="00C77BA1"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وينبغي تعزيز تدريب الموظفين على تقنيات خفض التصعيد والتواصل وإدارة الإجهاد والنزاعات، مع التركيز على بناء علاقات إيجابية والحفاظ عليها بين السجناء، وكذلك بين الموظفين والسجناء. يجب توفير هذا التدريب بشكل دوري.</w:t>
      </w:r>
    </w:p>
    <w:p w:rsidR="00C77BA1" w:rsidRPr="006E1CD2" w:rsidRDefault="00C77BA1"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علاوة على ذلك، يجب ألا يكون لنظام “الشاويش” أي وظيفة في الحفاظ على الانضباط داخل نظام السجون.</w:t>
      </w:r>
    </w:p>
    <w:p w:rsidR="00C77BA1" w:rsidRPr="006E1CD2" w:rsidRDefault="00C77BA1" w:rsidP="00B433AB">
      <w:pPr>
        <w:pStyle w:val="NormalWeb"/>
        <w:jc w:val="both"/>
        <w:rPr>
          <w:rFonts w:asciiTheme="minorBidi" w:hAnsiTheme="minorBidi" w:cstheme="minorBidi"/>
          <w:sz w:val="28"/>
          <w:szCs w:val="28"/>
          <w:rtl/>
        </w:rPr>
      </w:pPr>
    </w:p>
    <w:p w:rsidR="00C77BA1" w:rsidRPr="006E1CD2" w:rsidRDefault="00C77BA1"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ج. الضمانات القانونية</w:t>
      </w:r>
    </w:p>
    <w:p w:rsidR="00C77BA1" w:rsidRPr="006E1CD2" w:rsidRDefault="00C77BA1" w:rsidP="00B433AB">
      <w:pPr>
        <w:pStyle w:val="NormalWeb"/>
        <w:jc w:val="both"/>
        <w:rPr>
          <w:rFonts w:asciiTheme="minorBidi" w:hAnsiTheme="minorBidi" w:cstheme="minorBidi"/>
          <w:sz w:val="28"/>
          <w:szCs w:val="28"/>
          <w:rtl/>
        </w:rPr>
      </w:pPr>
    </w:p>
    <w:p w:rsidR="00C77BA1" w:rsidRPr="006E1CD2" w:rsidRDefault="00C77BA1"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79. بينما يشير الفريق الفرعي إلى أن الضمانات القانونية الأساسية مكفولة نظريًا، فإنه يعرب عن قلقه بشأن عدم تطبيقها عمليًا.</w:t>
      </w:r>
    </w:p>
    <w:p w:rsidR="00C77BA1" w:rsidRPr="006E1CD2" w:rsidRDefault="00C77BA1" w:rsidP="00B433AB">
      <w:pPr>
        <w:pStyle w:val="NormalWeb"/>
        <w:bidi/>
        <w:jc w:val="both"/>
        <w:rPr>
          <w:rFonts w:asciiTheme="minorBidi" w:hAnsiTheme="minorBidi" w:cstheme="minorBidi"/>
          <w:sz w:val="28"/>
          <w:szCs w:val="28"/>
          <w:rtl/>
        </w:rPr>
      </w:pPr>
      <w:r w:rsidRPr="006E1CD2">
        <w:rPr>
          <w:rFonts w:asciiTheme="minorBidi" w:hAnsiTheme="minorBidi" w:cstheme="minorBidi"/>
          <w:sz w:val="28"/>
          <w:szCs w:val="28"/>
          <w:rtl/>
        </w:rPr>
        <w:t>تلقى الفريق الفرعي معلومات من المحتجزين تفيد بأنه، رغم أن لديهم من الناحية النظرية حق الوصول إلى محامٍ، فإنهم عمليًا يحصلون على معلومات قليلة أو معدومة بشأن مدة احتجازهم السابق للمحاكمة، أو مواعيد المحاكمات القادمة، أو الاجتماعات التالية مع محاميهم.</w:t>
      </w:r>
    </w:p>
    <w:p w:rsidR="00C77BA1" w:rsidRPr="006E1CD2" w:rsidRDefault="00C77BA1" w:rsidP="00B433AB">
      <w:pPr>
        <w:pStyle w:val="NormalWeb"/>
        <w:jc w:val="both"/>
        <w:rPr>
          <w:rFonts w:asciiTheme="minorBidi" w:hAnsiTheme="minorBidi" w:cstheme="minorBidi"/>
          <w:sz w:val="28"/>
          <w:szCs w:val="28"/>
          <w:rtl/>
        </w:rPr>
      </w:pPr>
    </w:p>
    <w:p w:rsidR="00C77BA1" w:rsidRDefault="00C77BA1" w:rsidP="00B433AB">
      <w:pPr>
        <w:pStyle w:val="NormalWeb"/>
        <w:bidi/>
        <w:jc w:val="both"/>
        <w:rPr>
          <w:rFonts w:asciiTheme="minorBidi" w:hAnsiTheme="minorBidi" w:cstheme="minorBidi"/>
          <w:sz w:val="28"/>
          <w:szCs w:val="28"/>
        </w:rPr>
      </w:pPr>
      <w:r w:rsidRPr="006E1CD2">
        <w:rPr>
          <w:rFonts w:asciiTheme="minorBidi" w:hAnsiTheme="minorBidi" w:cstheme="minorBidi"/>
          <w:sz w:val="28"/>
          <w:szCs w:val="28"/>
          <w:rtl/>
        </w:rPr>
        <w:t>80. ينبغي للدولة الطرف أن تولي اهتمامًا أكبر لضمان الضمانات القانونية للمحتجزين، وتوعية موظفي السجون بواجب احترامها عمليًا، بحيث يتمكن المحتجزون من التمتع بحقوقهم بشكل فعال وكامل.</w:t>
      </w:r>
    </w:p>
    <w:p w:rsidR="002F7868" w:rsidRPr="006E1CD2" w:rsidRDefault="002F7868" w:rsidP="002F7868">
      <w:pPr>
        <w:pStyle w:val="NormalWeb"/>
        <w:bidi/>
        <w:jc w:val="both"/>
        <w:rPr>
          <w:rFonts w:asciiTheme="minorBidi" w:hAnsiTheme="minorBidi" w:cstheme="minorBidi"/>
          <w:sz w:val="28"/>
          <w:szCs w:val="28"/>
        </w:rPr>
      </w:pPr>
    </w:p>
    <w:p w:rsidR="00A67D81" w:rsidRPr="006E1CD2" w:rsidRDefault="00A67D8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lastRenderedPageBreak/>
        <w:t>د. نظام الشكاوى</w:t>
      </w:r>
    </w:p>
    <w:p w:rsidR="00A67D81" w:rsidRPr="006E1CD2" w:rsidRDefault="00A67D81" w:rsidP="00B433AB">
      <w:pPr>
        <w:pStyle w:val="NormalWeb"/>
        <w:jc w:val="both"/>
        <w:rPr>
          <w:rFonts w:asciiTheme="minorBidi" w:hAnsiTheme="minorBidi" w:cstheme="minorBidi"/>
          <w:color w:val="000000"/>
          <w:sz w:val="28"/>
          <w:szCs w:val="28"/>
          <w:rtl/>
        </w:rPr>
      </w:pPr>
    </w:p>
    <w:p w:rsidR="00A67D81" w:rsidRPr="006E1CD2" w:rsidRDefault="00A67D8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83. يمكن للأشخاص المحرومين من حريتهم تقديم شكاوى تتعلق بالتعذيب أو سوء المعاملة إلى آليات رقابة متعددة. على سبيل المثال، تقوم الهيئة المستقلة لحقوق الإنسان بزيارات دورية وغير دورية إلى أماكن الحرمان من الحرية لمتابعة الادعاءات الواردة، كما تحتفظ بقاعدة بيانات لجميع هذه الشكاوى. ومع ذلك، وكما ذكر سابقًا، تُحال الشكاوى المتعلقة بالتعذيب وسوء المعاملة إلى القضاء العسكري للتحقيق والملاحقة، وهو أمر مثير للمشاكل.</w:t>
      </w:r>
    </w:p>
    <w:p w:rsidR="00A67D81" w:rsidRPr="006E1CD2" w:rsidRDefault="00A67D81"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تعرب اللجنة عن قلقها من أن المحتجزين يمارسون الرقابة الذاتية ويتجنبون تقديم شكاوى رسمية بسبب عدم الثقة في نظام العدالة.</w:t>
      </w:r>
    </w:p>
    <w:p w:rsidR="00A67D81" w:rsidRPr="006E1CD2" w:rsidRDefault="00A67D81" w:rsidP="00B433AB">
      <w:pPr>
        <w:pStyle w:val="NormalWeb"/>
        <w:jc w:val="both"/>
        <w:rPr>
          <w:rFonts w:asciiTheme="minorBidi" w:hAnsiTheme="minorBidi" w:cstheme="minorBidi"/>
          <w:color w:val="000000"/>
          <w:sz w:val="28"/>
          <w:szCs w:val="28"/>
          <w:rtl/>
        </w:rPr>
      </w:pPr>
    </w:p>
    <w:p w:rsidR="00A67D81" w:rsidRPr="006E1CD2" w:rsidRDefault="00A67D8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84. بالإضافة إلى ذلك، تم إبلاغ الفريق الفرعي بأن صناديق الشكاوى تم تركيبها في كل منشأة إصلاحية. ومع ذلك، تمكن الفريق الفرعي من اكتشاف تلك الصناديق فقط في مركز الإصلاح والتأهيل في الخليل (الظاهرية). حتى في ذلك الموقع، تم وضع صندوق الشكاوى تحت كاميرا مراقبة دائمة، مما يثير قضايا خطيرة تتعلق بسرية الشكاوى ويقوض أي حماية للمشتكي من احتمال الانتقام. علاوة على ذلك، تُعامل جميع الشكاوى الواردة عبر هذه الصناديق أولاً من قبل مدير المنشأة، الذي يقوم بعد ذلك بإحالتها إلى السلطات المعنية، مما يقوض أي استقلالية أو سرية.</w:t>
      </w:r>
    </w:p>
    <w:p w:rsidR="00A67D81" w:rsidRPr="006E1CD2" w:rsidRDefault="00A67D81" w:rsidP="00B433AB">
      <w:pPr>
        <w:pStyle w:val="NormalWeb"/>
        <w:jc w:val="both"/>
        <w:rPr>
          <w:rFonts w:asciiTheme="minorBidi" w:hAnsiTheme="minorBidi" w:cstheme="minorBidi"/>
          <w:color w:val="000000"/>
          <w:sz w:val="28"/>
          <w:szCs w:val="28"/>
          <w:rtl/>
        </w:rPr>
      </w:pPr>
    </w:p>
    <w:p w:rsidR="00A67D81" w:rsidRPr="006E1CD2" w:rsidRDefault="00A67D8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85. كما لاحظ الفريق الفرعي أن كل منشأة قام بزيارتها تحتوي على سجل خاص بالطلبات أو المطالب، بما في ذلك طلبات الزيارة العائلية والإفراج المشروط، من بين أمور أخرى.</w:t>
      </w:r>
    </w:p>
    <w:p w:rsidR="00A67D81" w:rsidRPr="006E1CD2" w:rsidRDefault="00A67D81" w:rsidP="00B433AB">
      <w:pPr>
        <w:pStyle w:val="NormalWeb"/>
        <w:jc w:val="both"/>
        <w:rPr>
          <w:rFonts w:asciiTheme="minorBidi" w:hAnsiTheme="minorBidi" w:cstheme="minorBidi"/>
          <w:color w:val="000000"/>
          <w:sz w:val="28"/>
          <w:szCs w:val="28"/>
          <w:rtl/>
        </w:rPr>
      </w:pPr>
    </w:p>
    <w:p w:rsidR="00A67D81" w:rsidRPr="006E1CD2" w:rsidRDefault="00A67D8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86. ينبغي للدولة الطرف أن تعزز فعالية آليات الرقابة الداخلية والخارجية على الطلبات والشكاوى بما يتماشى مع القاعدتين 56 و57 من قواعد نيلسون مانديلا. أولاً، يجب أن تضمن أن آليات الشكاوى الخارجية المستقلة فعّالة ومتاحة عمليًا للأشخاص المحرومين من حريتهم لتقديم شكاوى تتعلق بأعمال التعذيب وسوء المعاملة. يجب أن تكون هذه الآليات متاحة وسهلة الوصول في جميع أماكن الحرمان من الحرية، ويجب أن تكون المعلومات المتعلقة بها شفافة ومنتشرة على نطاق واسع، وألا يلعب الحراس أو مدير المنشأة أي دور في جمع أو نقل هذه الشكاوى إلى السلطات المعنية. كما ينبغي للدولة الطرف أن تضمن إنشاء هيئة تحقيق مستقلة للتعامل مع جميع هذه الشكاوى. ثانياً، ينبغي أن تعزز آليتها الداخلية التي تعالج بفعالية طلبات المحتجزين والشكاوى الأخرى المتعلقة بأفعال وسلوك السلطات المسؤولة عن معاملتهم التي لا ترقى إلى مستوى التعذيب وسوء المعاملة.</w:t>
      </w:r>
    </w:p>
    <w:p w:rsidR="00A67D81" w:rsidRDefault="00A67D81" w:rsidP="00B433AB">
      <w:pPr>
        <w:pStyle w:val="NormalWeb"/>
        <w:jc w:val="both"/>
        <w:rPr>
          <w:rFonts w:asciiTheme="minorBidi" w:hAnsiTheme="minorBidi" w:cstheme="minorBidi"/>
          <w:color w:val="000000"/>
          <w:sz w:val="28"/>
          <w:szCs w:val="28"/>
        </w:rPr>
      </w:pPr>
    </w:p>
    <w:p w:rsidR="00B433AB" w:rsidRDefault="00B433AB" w:rsidP="00B433AB">
      <w:pPr>
        <w:pStyle w:val="NormalWeb"/>
        <w:jc w:val="both"/>
        <w:rPr>
          <w:rFonts w:asciiTheme="minorBidi" w:hAnsiTheme="minorBidi" w:cstheme="minorBidi"/>
          <w:color w:val="000000"/>
          <w:sz w:val="28"/>
          <w:szCs w:val="28"/>
        </w:rPr>
      </w:pPr>
    </w:p>
    <w:p w:rsidR="00B433AB" w:rsidRDefault="00B433AB" w:rsidP="00B433AB">
      <w:pPr>
        <w:pStyle w:val="NormalWeb"/>
        <w:jc w:val="both"/>
        <w:rPr>
          <w:rFonts w:asciiTheme="minorBidi" w:hAnsiTheme="minorBidi" w:cstheme="minorBidi"/>
          <w:color w:val="000000"/>
          <w:sz w:val="28"/>
          <w:szCs w:val="28"/>
        </w:rPr>
      </w:pPr>
    </w:p>
    <w:p w:rsidR="00B433AB" w:rsidRPr="006E1CD2" w:rsidRDefault="00B433AB" w:rsidP="00B433AB">
      <w:pPr>
        <w:pStyle w:val="NormalWeb"/>
        <w:jc w:val="both"/>
        <w:rPr>
          <w:rFonts w:asciiTheme="minorBidi" w:hAnsiTheme="minorBidi" w:cstheme="minorBidi"/>
          <w:color w:val="000000"/>
          <w:sz w:val="28"/>
          <w:szCs w:val="28"/>
          <w:rtl/>
        </w:rPr>
      </w:pPr>
    </w:p>
    <w:p w:rsidR="00A67D81" w:rsidRPr="006E1CD2" w:rsidRDefault="00A67D8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هـ. ظروف الاحتجاز</w:t>
      </w:r>
    </w:p>
    <w:p w:rsidR="00A67D81" w:rsidRPr="006E1CD2" w:rsidRDefault="00A67D81" w:rsidP="00B433AB">
      <w:pPr>
        <w:pStyle w:val="NormalWeb"/>
        <w:jc w:val="both"/>
        <w:rPr>
          <w:rFonts w:asciiTheme="minorBidi" w:hAnsiTheme="minorBidi" w:cstheme="minorBidi"/>
          <w:color w:val="000000"/>
          <w:sz w:val="28"/>
          <w:szCs w:val="28"/>
          <w:rtl/>
        </w:rPr>
      </w:pPr>
    </w:p>
    <w:p w:rsidR="00A67D81" w:rsidRPr="006E1CD2" w:rsidRDefault="00A67D8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 الظروف المادية</w:t>
      </w:r>
    </w:p>
    <w:p w:rsidR="00A67D81" w:rsidRPr="006E1CD2" w:rsidRDefault="00A67D81" w:rsidP="00B433AB">
      <w:pPr>
        <w:pStyle w:val="NormalWeb"/>
        <w:jc w:val="both"/>
        <w:rPr>
          <w:rFonts w:asciiTheme="minorBidi" w:hAnsiTheme="minorBidi" w:cstheme="minorBidi"/>
          <w:color w:val="000000"/>
          <w:sz w:val="28"/>
          <w:szCs w:val="28"/>
          <w:rtl/>
        </w:rPr>
      </w:pPr>
    </w:p>
    <w:p w:rsidR="00A67D81" w:rsidRPr="006E1CD2" w:rsidRDefault="00A67D8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87. وجد الفريق الفرعي أن الظروف المادية في معظم مرافق الاحتجاز التي زارها كانت مقبولة. ومع ذلك، في مركز الإصلاح والتأهيل في بيت لحم، لاحظ الفريق ظروفًا معيشية غير إنسانية بسبب الاكتظاظ، نقص الأسرة، الرطوبة، نقص التهوية والنظافة، والأسلاك الكهربائية المثبتة بشكل خطير، مما يشكل خطرًا على السلامة من الحرائق. يمكن أن تصل هذه الظروف إلى مستوى المعاملة القاسية أو اللاإنسانية أو المهينة. بالإضافة إلى ذلك، في مركز الإصلاح والتأهيل في الخليل (الظاهرية)، الذي تم تجديده مسبقًا، ظلت الظروف غير ملائمة بسبب الاكتظاظ المزمن، وعدم كفاية المرافق الصحية، والمساحة المحدودة لعدد الأسرة المكتظة في كل زنزانة.</w:t>
      </w:r>
    </w:p>
    <w:p w:rsidR="00A67D81" w:rsidRPr="006E1CD2" w:rsidRDefault="00A67D81" w:rsidP="00B433AB">
      <w:pPr>
        <w:pStyle w:val="NormalWeb"/>
        <w:jc w:val="both"/>
        <w:rPr>
          <w:rFonts w:asciiTheme="minorBidi" w:hAnsiTheme="minorBidi" w:cstheme="minorBidi"/>
          <w:color w:val="000000"/>
          <w:sz w:val="28"/>
          <w:szCs w:val="28"/>
          <w:rtl/>
        </w:rPr>
      </w:pPr>
    </w:p>
    <w:p w:rsidR="00A67D81" w:rsidRPr="006E1CD2" w:rsidRDefault="00A67D8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88. يوصي الفريق الفرعي بإغلاق مراكز الإصلاح والتأهيل في بيت لحم والخليل (الظاهرية)، حيث تؤثر الظروف السيئة هناك على كل من المحتجزين وموظفي السجن الذين يجب معاملتهم باحترام. كما يوصي الفريق الفرعي بأن تواصل الدولة الطرف جهودها للحفاظ على جميع أماكن الحرمان من الحرية بما يتماشى مع أعلى معايير الصحة والنظافة الممكنة.</w:t>
      </w:r>
    </w:p>
    <w:p w:rsidR="00DF35A8" w:rsidRPr="006E1CD2" w:rsidRDefault="00DF35A8"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2. إعادة التأهيل</w:t>
      </w:r>
    </w:p>
    <w:p w:rsidR="00DF35A8" w:rsidRPr="006E1CD2" w:rsidRDefault="00DF35A8" w:rsidP="00B433AB">
      <w:pPr>
        <w:pStyle w:val="NormalWeb"/>
        <w:jc w:val="both"/>
        <w:rPr>
          <w:rFonts w:asciiTheme="minorBidi" w:hAnsiTheme="minorBidi" w:cstheme="minorBidi"/>
          <w:color w:val="000000"/>
          <w:sz w:val="28"/>
          <w:szCs w:val="28"/>
          <w:rtl/>
        </w:rPr>
      </w:pPr>
    </w:p>
    <w:p w:rsidR="00DF35A8" w:rsidRPr="006E1CD2" w:rsidRDefault="00DF35A8"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89. يلاحظ الفريق الفرعي بقلق عدم وجود نهج لإعادة التأهيل في نظام السجون، والنواقص الكبيرة التي تم رصدها في توفير الأنشطة ذات المعنى في جميع مراكز الإصلاح والتأهيل، باستثناء ممارسة جيدة لوحظت في سجن أريحا. حيث يأتي المعلمون إلى السجن ويشارك النزلاء في برنامج لمحو الأمية. في سجون النساء، تُقدم ورش عمل لمحو الأمية وبعض الحرف اليدوية للنزيلات. بخلاف هذه الأنشطة القليلة، سمعت الوفد شكاوى بشأن نقص فرص العمل، والدراسة، وإعادة التأهيل، والترفيه في جميع المنشآت التي زارها.</w:t>
      </w:r>
    </w:p>
    <w:p w:rsidR="00DF35A8" w:rsidRPr="006E1CD2" w:rsidRDefault="00DF35A8" w:rsidP="00B433AB">
      <w:pPr>
        <w:pStyle w:val="NormalWeb"/>
        <w:jc w:val="both"/>
        <w:rPr>
          <w:rFonts w:asciiTheme="minorBidi" w:hAnsiTheme="minorBidi" w:cstheme="minorBidi"/>
          <w:color w:val="000000"/>
          <w:sz w:val="28"/>
          <w:szCs w:val="28"/>
          <w:rtl/>
        </w:rPr>
      </w:pPr>
    </w:p>
    <w:p w:rsidR="00DF35A8" w:rsidRPr="006E1CD2" w:rsidRDefault="00DF35A8"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90. ينبغي للدولة الطرف تطوير نظام إعادة تأهيل يتضمن أنشطة هادفة مع برامج مصممة بشكل جيد كجزء من إصلاح شامل لنظام العقوبات، بما في ذلك فرص العمل، والتعليم، وإعادة التأهيل، والترفيه للأشخاص المحرومين من حريتهم على أساس منتظم.</w:t>
      </w:r>
    </w:p>
    <w:p w:rsidR="00DF35A8" w:rsidRDefault="00DF35A8" w:rsidP="00B433AB">
      <w:pPr>
        <w:pStyle w:val="NormalWeb"/>
        <w:jc w:val="both"/>
        <w:rPr>
          <w:rFonts w:asciiTheme="minorBidi" w:hAnsiTheme="minorBidi" w:cstheme="minorBidi"/>
          <w:color w:val="000000"/>
          <w:sz w:val="28"/>
          <w:szCs w:val="28"/>
        </w:rPr>
      </w:pPr>
    </w:p>
    <w:p w:rsidR="00B433AB" w:rsidRPr="006E1CD2" w:rsidRDefault="00B433AB" w:rsidP="00B433AB">
      <w:pPr>
        <w:pStyle w:val="NormalWeb"/>
        <w:jc w:val="both"/>
        <w:rPr>
          <w:rFonts w:asciiTheme="minorBidi" w:hAnsiTheme="minorBidi" w:cstheme="minorBidi"/>
          <w:color w:val="000000"/>
          <w:sz w:val="28"/>
          <w:szCs w:val="28"/>
          <w:rtl/>
        </w:rPr>
      </w:pPr>
    </w:p>
    <w:p w:rsidR="00DF35A8" w:rsidRPr="006E1CD2" w:rsidRDefault="00DF35A8"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و. الصحة</w:t>
      </w:r>
    </w:p>
    <w:p w:rsidR="00DF35A8" w:rsidRPr="006E1CD2" w:rsidRDefault="00DF35A8" w:rsidP="00B433AB">
      <w:pPr>
        <w:pStyle w:val="NormalWeb"/>
        <w:jc w:val="both"/>
        <w:rPr>
          <w:rFonts w:asciiTheme="minorBidi" w:hAnsiTheme="minorBidi" w:cstheme="minorBidi"/>
          <w:color w:val="000000"/>
          <w:sz w:val="28"/>
          <w:szCs w:val="28"/>
          <w:rtl/>
        </w:rPr>
      </w:pPr>
    </w:p>
    <w:p w:rsidR="00DF35A8" w:rsidRPr="006E1CD2" w:rsidRDefault="00DF35A8"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91. فيما يتعلق بالظروف المادية، يود الفريق الفرعي أن يسجل أن معظم مرافق الخدمات الطبية في مراكز الإصلاح والتأهيل التي زارتها الوفد كانت مرضية. ومع ذلك، لا تزال هناك بعض المخاوف بشأن نقص المواد والمعدات، باستثناء السجن في رام الله. تتوفر الأدوية في جميع المراكز، ويتم إدارة توزيع الأدوية النفسية بشكل مناسب.</w:t>
      </w:r>
    </w:p>
    <w:p w:rsidR="00DF35A8" w:rsidRPr="006E1CD2" w:rsidRDefault="00DF35A8" w:rsidP="00B433AB">
      <w:pPr>
        <w:pStyle w:val="NormalWeb"/>
        <w:jc w:val="both"/>
        <w:rPr>
          <w:rFonts w:asciiTheme="minorBidi" w:hAnsiTheme="minorBidi" w:cstheme="minorBidi"/>
          <w:color w:val="000000"/>
          <w:sz w:val="28"/>
          <w:szCs w:val="28"/>
          <w:rtl/>
        </w:rPr>
      </w:pPr>
    </w:p>
    <w:p w:rsidR="00DF35A8" w:rsidRPr="006E1CD2" w:rsidRDefault="00DF35A8"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92. بالنسبة لمستوى التوظيف، يلاحظ الفريق الفرعي وجود نقص في أعداد الموظفين في جميع السجون، مما يجعلها غير قادرة على تلبية الاحتياجات الأساسية للأشخاص المحرومين من حريتهم، مما قد يؤثر سلبًا على صحتهم. يتواجد طبيب وممرض عمومًا على مدار 24 ساعة يوميًا، على الرغم من أن مناوبات عملهم قد تمتد أحيانًا إلى ثلاثة أيام، وهو أمر مقلق. بالإضافة إلى ذلك، يلاحظ الفريق الفرعي نقصًا كبيرًا في أعداد الأطباء النفسيين وعلماء النفس في السجون، وكذلك تأخيرات كبيرة في توفير الاستشارات المتخصصة والعلاجات الضرورية في المستشفيات. وقد التقى الفريق الفرعي بعدة محتجزين في حالة صحية سيئة، لم يتلقوا أي مساعدة طبية أو تلقوا مساعدة محدودة جدًا.</w:t>
      </w:r>
    </w:p>
    <w:p w:rsidR="00DF35A8" w:rsidRPr="006E1CD2" w:rsidRDefault="00DF35A8" w:rsidP="00B433AB">
      <w:pPr>
        <w:pStyle w:val="NormalWeb"/>
        <w:jc w:val="both"/>
        <w:rPr>
          <w:rFonts w:asciiTheme="minorBidi" w:hAnsiTheme="minorBidi" w:cstheme="minorBidi"/>
          <w:color w:val="000000"/>
          <w:sz w:val="28"/>
          <w:szCs w:val="28"/>
          <w:rtl/>
        </w:rPr>
      </w:pPr>
    </w:p>
    <w:p w:rsidR="00DF35A8" w:rsidRPr="006E1CD2" w:rsidRDefault="00DF35A8"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93. فيما يتعلق بالسلطة المشرفة على تقديم الخدمات الطبية في السجون، يلاحظ الفريق الفرعي أن هذه الخدمات تخضع حاليًا لإشراف الخدمة العسكرية، ويعتقد أن ذلك قد يعيق استقلالية الكادر الطبي، ويسبب تضاربًا في المصالح، ويثنيهم عن الإبلاغ عن الإصابات التي تشير إلى التعذيب أو سوء المعاملة.</w:t>
      </w:r>
    </w:p>
    <w:p w:rsidR="00DF35A8" w:rsidRPr="006E1CD2" w:rsidRDefault="00DF35A8" w:rsidP="00B433AB">
      <w:pPr>
        <w:pStyle w:val="NormalWeb"/>
        <w:jc w:val="both"/>
        <w:rPr>
          <w:rFonts w:asciiTheme="minorBidi" w:hAnsiTheme="minorBidi" w:cstheme="minorBidi"/>
          <w:color w:val="000000"/>
          <w:sz w:val="28"/>
          <w:szCs w:val="28"/>
          <w:rtl/>
        </w:rPr>
      </w:pPr>
    </w:p>
    <w:p w:rsidR="00DF35A8" w:rsidRPr="006E1CD2" w:rsidRDefault="00DF35A8"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94. فيما يتعلق بتوثيق الإصابات، لاحظت البعثة أنه على الرغم من أن الفحوصات الطبية تُجرى بشكل روتيني عند دخول السجون، إلا أن هناك تفاوتًا في تسجيل هذه الفحوصات. معظم الأطباء لا يوثقون الإصابات حتى عندما تكون هناك علامات جسدية و/أو نفسية واضحة. أولئك الذين يوثقون الإصابات في الملفات الطبية الشخصية نادرًا ما يخطرون مكتب النيابة العامة لفتح تحقيق. ويأسف الفريق الفرعي لأن الكادر الطبي الذي تمت مقابلته كان على علم ببروتوكول إسطنبول ولكنه لم يستخدمه أبدًا.</w:t>
      </w:r>
    </w:p>
    <w:p w:rsidR="00DF35A8" w:rsidRDefault="00DF35A8" w:rsidP="00B433AB">
      <w:pPr>
        <w:pStyle w:val="NormalWeb"/>
        <w:jc w:val="both"/>
        <w:rPr>
          <w:rFonts w:asciiTheme="minorBidi" w:hAnsiTheme="minorBidi" w:cstheme="minorBidi"/>
          <w:color w:val="000000"/>
          <w:sz w:val="28"/>
          <w:szCs w:val="28"/>
        </w:rPr>
      </w:pPr>
    </w:p>
    <w:p w:rsidR="00B433AB" w:rsidRDefault="00B433AB" w:rsidP="00B433AB">
      <w:pPr>
        <w:pStyle w:val="NormalWeb"/>
        <w:jc w:val="both"/>
        <w:rPr>
          <w:rFonts w:asciiTheme="minorBidi" w:hAnsiTheme="minorBidi" w:cstheme="minorBidi"/>
          <w:color w:val="000000"/>
          <w:sz w:val="28"/>
          <w:szCs w:val="28"/>
        </w:rPr>
      </w:pPr>
    </w:p>
    <w:p w:rsidR="00B433AB" w:rsidRDefault="00B433AB" w:rsidP="00B433AB">
      <w:pPr>
        <w:pStyle w:val="NormalWeb"/>
        <w:jc w:val="both"/>
        <w:rPr>
          <w:rFonts w:asciiTheme="minorBidi" w:hAnsiTheme="minorBidi" w:cstheme="minorBidi"/>
          <w:color w:val="000000"/>
          <w:sz w:val="28"/>
          <w:szCs w:val="28"/>
        </w:rPr>
      </w:pPr>
    </w:p>
    <w:p w:rsidR="00B433AB" w:rsidRPr="006E1CD2" w:rsidRDefault="00B433AB" w:rsidP="00B433AB">
      <w:pPr>
        <w:pStyle w:val="NormalWeb"/>
        <w:jc w:val="both"/>
        <w:rPr>
          <w:rFonts w:asciiTheme="minorBidi" w:hAnsiTheme="minorBidi" w:cstheme="minorBidi"/>
          <w:color w:val="000000"/>
          <w:sz w:val="28"/>
          <w:szCs w:val="28"/>
          <w:rtl/>
        </w:rPr>
      </w:pPr>
    </w:p>
    <w:p w:rsidR="00DF35A8" w:rsidRPr="006E1CD2" w:rsidRDefault="00DF35A8"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95. ينبغي للدولة الطرف أن:</w:t>
      </w:r>
    </w:p>
    <w:p w:rsidR="00DF35A8" w:rsidRPr="006E1CD2" w:rsidRDefault="00DF35A8"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(أ) تسهّل توفير المستلزمات والمعدات الطبية لجميع أماكن الحرمان من الحرية؛</w:t>
      </w:r>
    </w:p>
    <w:p w:rsidR="00DF35A8" w:rsidRPr="006E1CD2" w:rsidRDefault="00DF35A8"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(ب) تعزيز أعداد الكوادر الطبية في جميع مراكز الإصلاح والتأهيل، وضمان توفير الرعاية الطبية والنفسية والمتخصصة وإتاحتها لجميع المحتجزين عند طلبهم واحتياجهم وفي غضون فترة زمنية معقولة، بما في ذلك المتابعة الكافية والرعاية المتخصصة حسب الحاجة؛</w:t>
      </w:r>
    </w:p>
    <w:p w:rsidR="00DF35A8" w:rsidRPr="006E1CD2" w:rsidRDefault="00DF35A8"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(ج) النظر في نقل مسؤولية الرعاية الصحية للأشخاص المحتجزين في مراكز الإصلاح والتأهيل إلى وزارة الصحة باعتبارها الجهة الوحيدة المقدمة للخدمة.</w:t>
      </w:r>
    </w:p>
    <w:p w:rsidR="00D3302C" w:rsidRPr="006E1CD2" w:rsidRDefault="00D3302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(د) تحسين تدريب الكوادر الطبية، وخاصةً على النسخة المعدلة من بروتوكول إسطنبول والمعايير الدولية الأخرى، وكذلك على واجب اكتشاف حالات التعذيب وسوء المعاملة والإبلاغ عنها؛</w:t>
      </w:r>
    </w:p>
    <w:p w:rsidR="00D3302C" w:rsidRPr="006E1CD2" w:rsidRDefault="00D3302C"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(هـ) ضمان قيام المهنيين الصحيين بالإبلاغ الفوري عن الشكوك المتعلقة بالتعذيب وسوء المعاملة للسلطات المستقلة.</w:t>
      </w:r>
    </w:p>
    <w:p w:rsidR="00D3302C" w:rsidRPr="006E1CD2" w:rsidRDefault="00D3302C" w:rsidP="00B433AB">
      <w:pPr>
        <w:pStyle w:val="NormalWeb"/>
        <w:jc w:val="both"/>
        <w:rPr>
          <w:rFonts w:asciiTheme="minorBidi" w:hAnsiTheme="minorBidi" w:cstheme="minorBidi"/>
          <w:color w:val="000000"/>
          <w:sz w:val="28"/>
          <w:szCs w:val="28"/>
          <w:rtl/>
        </w:rPr>
      </w:pPr>
    </w:p>
    <w:p w:rsidR="00D3302C" w:rsidRPr="006E1CD2" w:rsidRDefault="00D3302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ز. التدابير/النظام التأديبي</w:t>
      </w:r>
    </w:p>
    <w:p w:rsidR="00D3302C" w:rsidRPr="006E1CD2" w:rsidRDefault="00D3302C" w:rsidP="00B433AB">
      <w:pPr>
        <w:pStyle w:val="NormalWeb"/>
        <w:jc w:val="both"/>
        <w:rPr>
          <w:rFonts w:asciiTheme="minorBidi" w:hAnsiTheme="minorBidi" w:cstheme="minorBidi"/>
          <w:color w:val="000000"/>
          <w:sz w:val="28"/>
          <w:szCs w:val="28"/>
          <w:rtl/>
        </w:rPr>
      </w:pPr>
    </w:p>
    <w:p w:rsidR="00D3302C" w:rsidRPr="006E1CD2" w:rsidRDefault="00D3302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96. يلاحظ الفريق الفرعي أن التدابير التأديبية في مراكز الإصلاح والتأهيل تخضع لأحكام القانون رقم (6) لعام 1998 الخاص بمراكز الإصلاح والتأهيل. تشمل هذه التدابير الحبس الانفرادي لمدة تصل إلى أسبوع واحد أو الحرمان من مزايا أخرى لمدة تصل إلى ثلاثين يومًا. وأبلغ المُستجوبون الوفد أن تقييد الاتصالات العائلية والمكالمات الهاتفية يُستخدم غالبًا كإجراء تأديبي. وعلى الرغم من أنه لم يُعثر على أي شخص في زنزانة انفرادية أثناء زيارة الوفد، إلا أن المقابلات كشفت أن هذه الزنازين تُستخدم بشكل متكرر، على سبيل المثال، أثناء الشجارات بين المحتجزين. لم يتمكن الوفد من التحقق من استخدام العقوبات التأديبية وتكرارها بسبب غياب السجلات الدقيقة من قبل سلطات السجون. ويعتقد الفريق الفرعي أن هذا النقص في الشفافية والتوثيق الدقيق قد يمنع السجناء من معرفة حقوقهم أو أسباب فرض العقوبات عليهم بشكل كافٍ، مما قد يؤدي إلى انتهاكات.</w:t>
      </w:r>
    </w:p>
    <w:p w:rsidR="00D3302C" w:rsidRPr="006E1CD2" w:rsidRDefault="00D3302C" w:rsidP="00B433AB">
      <w:pPr>
        <w:pStyle w:val="NormalWeb"/>
        <w:jc w:val="both"/>
        <w:rPr>
          <w:rFonts w:asciiTheme="minorBidi" w:hAnsiTheme="minorBidi" w:cstheme="minorBidi"/>
          <w:color w:val="000000"/>
          <w:sz w:val="28"/>
          <w:szCs w:val="28"/>
          <w:rtl/>
        </w:rPr>
      </w:pPr>
    </w:p>
    <w:p w:rsidR="00D3302C" w:rsidRPr="006E1CD2" w:rsidRDefault="00D3302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 xml:space="preserve">97. ينبغي للدولة الطرف ضمان مبدأ الإجراءات القانونية الواجبة في جميع الإجراءات المتعلقة بالعقوبات التأديبية، بما في ذلك الحق في سماع وجهة نظر السجين وتقديم استئناف. ويجب أن تكون القواعد المنظمة للعقوبات التأديبية واضحة ومعلومة للموظفين وللأشخاص المحرومين من حريتهم، وأن تُنفذ بشكل عادل وشفاف وأن يتم تسجيلها بدقة في سجل خاص. كما يجب أن يكون الحبس الانفرادي كعقوبة استثنائيًا وخاضعًا لإشراف قضائي. ويجب أن تكون ظروف ونظم الحبس الانفرادي متوافقة مع المعايير الدولية، بما في ذلك القواعد 13، 14، 23، 42، 43، 44، و63 من قواعد </w:t>
      </w:r>
      <w:r w:rsidRPr="006E1CD2">
        <w:rPr>
          <w:rFonts w:asciiTheme="minorBidi" w:hAnsiTheme="minorBidi" w:cstheme="minorBidi"/>
          <w:color w:val="000000"/>
          <w:sz w:val="28"/>
          <w:szCs w:val="28"/>
          <w:rtl/>
        </w:rPr>
        <w:lastRenderedPageBreak/>
        <w:t>نيلسون مانديلا. ويجب ألا يُفرض منع أو تقييد الاتصال العائلي كإجراء تأديبي، وفقًا للمادة 43 (3) من قواعد نيلسون مانديلا.</w:t>
      </w:r>
    </w:p>
    <w:p w:rsidR="00D3302C" w:rsidRPr="006E1CD2" w:rsidRDefault="00D3302C" w:rsidP="00B433AB">
      <w:pPr>
        <w:pStyle w:val="NormalWeb"/>
        <w:jc w:val="both"/>
        <w:rPr>
          <w:rFonts w:asciiTheme="minorBidi" w:hAnsiTheme="minorBidi" w:cstheme="minorBidi"/>
          <w:color w:val="000000"/>
          <w:sz w:val="28"/>
          <w:szCs w:val="28"/>
          <w:rtl/>
        </w:rPr>
      </w:pPr>
    </w:p>
    <w:p w:rsidR="00D3302C" w:rsidRPr="006E1CD2" w:rsidRDefault="00D3302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ح. موظفو السجون وتدريبهم</w:t>
      </w:r>
    </w:p>
    <w:p w:rsidR="00D3302C" w:rsidRPr="006E1CD2" w:rsidRDefault="00D3302C" w:rsidP="00B433AB">
      <w:pPr>
        <w:pStyle w:val="NormalWeb"/>
        <w:jc w:val="both"/>
        <w:rPr>
          <w:rFonts w:asciiTheme="minorBidi" w:hAnsiTheme="minorBidi" w:cstheme="minorBidi"/>
          <w:color w:val="000000"/>
          <w:sz w:val="28"/>
          <w:szCs w:val="28"/>
          <w:rtl/>
        </w:rPr>
      </w:pPr>
    </w:p>
    <w:p w:rsidR="00D3302C" w:rsidRPr="006E1CD2" w:rsidRDefault="00D3302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98. تلقى الوفد معلومات عن التدريب الأساسي المقدم لضباط الشرطة وموظفي السجون في الأمور المتعلقة باحترام حقوق الإنسان للأشخاص المحتجزين والمحكوم عليهم. ومع ذلك، بناءً على النتائج التي توصل إليها الوفد، يحتاج التدريب الأساسي والتعليم المستمر للضباط المسؤولين عن الأشخاص المحرومين من حريتهم إلى تحسين لتعزيز فهمهم وتطبيقهم للقواعد الأساسية في الاحتجاز.</w:t>
      </w:r>
    </w:p>
    <w:p w:rsidR="00D3302C" w:rsidRPr="006E1CD2" w:rsidRDefault="00D3302C" w:rsidP="00B433AB">
      <w:pPr>
        <w:pStyle w:val="NormalWeb"/>
        <w:jc w:val="both"/>
        <w:rPr>
          <w:rFonts w:asciiTheme="minorBidi" w:hAnsiTheme="minorBidi" w:cstheme="minorBidi"/>
          <w:color w:val="000000"/>
          <w:sz w:val="28"/>
          <w:szCs w:val="28"/>
          <w:rtl/>
        </w:rPr>
      </w:pPr>
    </w:p>
    <w:p w:rsidR="00D3302C" w:rsidRPr="006E1CD2" w:rsidRDefault="00D3302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99. ينبغي للدولة الطرف تعزيز التدريب الأساسي والتعليم المستمر لضباط الشرطة وموظفي السجون في الأمور المتعلقة باحترام كرامة الإنسان والحقوق الأساسية لجميع الأشخاص المحرومين من حريتهم.</w:t>
      </w:r>
    </w:p>
    <w:p w:rsidR="00D3302C" w:rsidRPr="006E1CD2" w:rsidRDefault="00D3302C" w:rsidP="00B433AB">
      <w:pPr>
        <w:pStyle w:val="NormalWeb"/>
        <w:jc w:val="both"/>
        <w:rPr>
          <w:rFonts w:asciiTheme="minorBidi" w:hAnsiTheme="minorBidi" w:cstheme="minorBidi"/>
          <w:color w:val="000000"/>
          <w:sz w:val="28"/>
          <w:szCs w:val="28"/>
          <w:rtl/>
        </w:rPr>
      </w:pPr>
    </w:p>
    <w:p w:rsidR="00D3302C" w:rsidRPr="006E1CD2" w:rsidRDefault="00D3302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ط. الأشخاص في أوضاع الضعف</w:t>
      </w:r>
    </w:p>
    <w:p w:rsidR="00D3302C" w:rsidRPr="006E1CD2" w:rsidRDefault="00D3302C" w:rsidP="00B433AB">
      <w:pPr>
        <w:pStyle w:val="NormalWeb"/>
        <w:jc w:val="both"/>
        <w:rPr>
          <w:rFonts w:asciiTheme="minorBidi" w:hAnsiTheme="minorBidi" w:cstheme="minorBidi"/>
          <w:color w:val="000000"/>
          <w:sz w:val="28"/>
          <w:szCs w:val="28"/>
          <w:rtl/>
        </w:rPr>
      </w:pPr>
    </w:p>
    <w:p w:rsidR="00D3302C" w:rsidRPr="006E1CD2" w:rsidRDefault="00D3302C" w:rsidP="00F00DB3">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1. النساء</w:t>
      </w:r>
    </w:p>
    <w:p w:rsidR="00D3302C" w:rsidRPr="006E1CD2" w:rsidRDefault="00D3302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100. يُعرب الفريق الفرعي عن قلقه البالغ من أن النساء المحرومات من حريتهن غالبًا ما يتعرضن للضحايا المزدوجة، مع إيلاء اهتمام قليل لوضعهن واحتياجاتهن الخاصة. وفي هذا الصدد، يلاحظ أن معظم النساء يُتهمن ويُحكمن بجرائم ذات طابع اقتصادي، مثل الديون، نتيجة إصدار أزواجهن شيكات بدون رصيد من حساباتهن، أو بجرائم تتعلق بترك المنزل التي تُبلغ عنها أسرهن، عندما يحاولن الهروب من حالات العنف المنزلي. وغالبًا ما تلجأ هؤلاء النساء إلى مراكز متخصصة، إلا أن هذه المراكز تسعى لإعادتهن إلى عائلاتهن.</w:t>
      </w:r>
    </w:p>
    <w:p w:rsidR="00D3302C" w:rsidRPr="006E1CD2" w:rsidRDefault="00D3302C" w:rsidP="00B433AB">
      <w:pPr>
        <w:pStyle w:val="NormalWeb"/>
        <w:jc w:val="both"/>
        <w:rPr>
          <w:rFonts w:asciiTheme="minorBidi" w:hAnsiTheme="minorBidi" w:cstheme="minorBidi"/>
          <w:color w:val="000000"/>
          <w:sz w:val="28"/>
          <w:szCs w:val="28"/>
          <w:rtl/>
        </w:rPr>
      </w:pPr>
    </w:p>
    <w:p w:rsidR="00D3302C" w:rsidRPr="006E1CD2" w:rsidRDefault="00D3302C"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101. علاوة على ذلك، تلقى الوفد معلومات تفيد بأن جميع النساء المحتجزات أُجبرن على ارتداء الشادور أثناء مثولهن أمام المحكمة أو أثناء زيارات الهيئات الرقابية الخارجية، بما في ذلك الفريق الفرعي، بذريعة الحفاظ على “كرامتهن”، على الرغم من أنهن لم يكن يرتدين الشادور في حياتهن اليومية.</w:t>
      </w:r>
    </w:p>
    <w:p w:rsidR="001676D5" w:rsidRPr="006E1CD2" w:rsidRDefault="001676D5"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 xml:space="preserve">102. تلقى الوفد عدة ادعاءات تفيد بأن الفحوصات الطبية عند دخول مرافق الاحتجاز تُجرى فقط للكشف عن الحمل. بالإضافة إلى ذلك، تُجرى الفحوصات الطبية التخصصية في المستشفيات، بما في </w:t>
      </w:r>
      <w:r w:rsidRPr="006E1CD2">
        <w:rPr>
          <w:rFonts w:asciiTheme="minorBidi" w:hAnsiTheme="minorBidi" w:cstheme="minorBidi"/>
          <w:color w:val="000000"/>
          <w:sz w:val="28"/>
          <w:szCs w:val="28"/>
          <w:rtl/>
        </w:rPr>
        <w:lastRenderedPageBreak/>
        <w:t>ذلك للحوامل، دائمًا بحضور حارسة، وتكون النساء مقيدات بالأصفاد حتى بدء الفحص الفعلي، مما يثير مخاوف بشأن كرامتهن وخصوصيتهن. وعلى الرغم من أن النساء المحتجزات مع أطفالهن وُجدن في ظروف مادية جيدة في سجن أريحا، إلا أن كمية الحليب المقدمة للأطفال يمكن زيادتها. علاوة على ذلك، يتم توفير الرعاية الطبية للأطفال من قبل طبيب عام وليس طبيب أطفال، ويتعين على المحتجزات تغطية تكلفة أي دواء للأطفال.</w:t>
      </w:r>
    </w:p>
    <w:p w:rsidR="001676D5" w:rsidRPr="006E1CD2" w:rsidRDefault="001676D5" w:rsidP="00B433AB">
      <w:pPr>
        <w:pStyle w:val="NormalWeb"/>
        <w:jc w:val="both"/>
        <w:rPr>
          <w:rFonts w:asciiTheme="minorBidi" w:hAnsiTheme="minorBidi" w:cstheme="minorBidi"/>
          <w:color w:val="000000"/>
          <w:sz w:val="28"/>
          <w:szCs w:val="28"/>
          <w:rtl/>
        </w:rPr>
      </w:pPr>
    </w:p>
    <w:p w:rsidR="001676D5" w:rsidRPr="006E1CD2" w:rsidRDefault="001676D5"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103. يلاحظ الفريق الفرعي كذلك أن النساء في السجون ليس لديهن وصول إلى أنشطة وبرامج ذات مغزى. في سجن أريحا، تشارك النساء في أنشطة الفنون والحرف اليدوية، ولكن ليس لديهن وصول إلى التعليم أو التدريب المهني أو العمل، مما قد يعزز الصور النمطية القائمة على الأدوار التقليدية في الأسرة والمجتمع. علم الوفد أن بعض النساء المحتجزات اللواتي كن مسجلات بالفعل في برامج جامعية لم يتمكنَّ من متابعة دراساتهن عن بُعد، رغم موافقة إدارة السجن على ذلك.</w:t>
      </w:r>
    </w:p>
    <w:p w:rsidR="001676D5" w:rsidRPr="006E1CD2" w:rsidRDefault="001676D5" w:rsidP="00B433AB">
      <w:pPr>
        <w:pStyle w:val="NormalWeb"/>
        <w:jc w:val="both"/>
        <w:rPr>
          <w:rFonts w:asciiTheme="minorBidi" w:hAnsiTheme="minorBidi" w:cstheme="minorBidi"/>
          <w:color w:val="000000"/>
          <w:sz w:val="28"/>
          <w:szCs w:val="28"/>
          <w:rtl/>
        </w:rPr>
      </w:pPr>
    </w:p>
    <w:p w:rsidR="001676D5" w:rsidRPr="006E1CD2" w:rsidRDefault="001676D5"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104. أخيرًا، تُحتجز النساء في الحبس الاحتياطي مع السجينات المدانات. في سجن بيت لحم، وجد الوفد فتاة تبلغ من العمر 16 عامًا محتجزة مع البالغات.</w:t>
      </w:r>
    </w:p>
    <w:p w:rsidR="001676D5" w:rsidRPr="006E1CD2" w:rsidRDefault="001676D5" w:rsidP="00B433AB">
      <w:pPr>
        <w:pStyle w:val="NormalWeb"/>
        <w:jc w:val="both"/>
        <w:rPr>
          <w:rFonts w:asciiTheme="minorBidi" w:hAnsiTheme="minorBidi" w:cstheme="minorBidi"/>
          <w:color w:val="000000"/>
          <w:sz w:val="28"/>
          <w:szCs w:val="28"/>
          <w:rtl/>
        </w:rPr>
      </w:pPr>
    </w:p>
    <w:p w:rsidR="001676D5" w:rsidRPr="006E1CD2" w:rsidRDefault="001676D5"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105. فيما يتعلق بالسجينات، ينبغي للدولة الطرف أن تطبق مبادئ عدم التمييز، والتصنيف، والتخطيط الفردي المنصوص عليها في القواعد 1، 40، و41 من قواعد بانكوك وفي المادة 3 من اتفاقية القضاء على جميع أشكال التمييز ضد المرأة. وفي هذا الصدد، ينبغي لها أن:</w:t>
      </w:r>
    </w:p>
    <w:p w:rsidR="001676D5" w:rsidRPr="006E1CD2" w:rsidRDefault="001676D5" w:rsidP="00B433AB">
      <w:pPr>
        <w:pStyle w:val="NormalWeb"/>
        <w:jc w:val="both"/>
        <w:rPr>
          <w:rFonts w:asciiTheme="minorBidi" w:hAnsiTheme="minorBidi" w:cstheme="minorBidi"/>
          <w:color w:val="000000"/>
          <w:sz w:val="28"/>
          <w:szCs w:val="28"/>
          <w:rtl/>
        </w:rPr>
      </w:pPr>
    </w:p>
    <w:p w:rsidR="001676D5" w:rsidRPr="006E1CD2" w:rsidRDefault="001676D5"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(أ) تقوم بتقييم دقيق ومراجعة الأسباب الجذرية والسياسات الجنائية تجاه النساء اللواتي يتعاملن مع نظام العدالة الجنائية، وتخصيص الموارد المناسبة لوضع بدائل مناسبة للنساء الجانحات بهدف الجمع بين التدابير غير الاحتجازية والتدخلات لمعالجة المشاكل الأكثر شيوعًا التي تؤدي إلى مثل هذه الحوادث؛</w:t>
      </w:r>
    </w:p>
    <w:p w:rsidR="001676D5" w:rsidRPr="006E1CD2" w:rsidRDefault="001676D5"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(ب) تُعزز بشكل نشط استخدام بدائل الحبس الاحتياطي داخل النيابة العامة وبين القضاة، وفقًا لقواعد طوكيو وقواعد الأمم المتحدة لمعاملة السجينات والتدابير غير الاحتجازية للنساء الجانحات (قواعد بانكوك)؛</w:t>
      </w:r>
    </w:p>
    <w:p w:rsidR="001676D5" w:rsidRPr="006E1CD2" w:rsidRDefault="001676D5"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(ج) تراجع الإجراءات والبروتوكولات الطبية المتعلقة بالمحتجزات لضمان احترام حقوقهن الأساسية، بما في ذلك الحق في الصحة والكرامة والخصوصية؛</w:t>
      </w:r>
    </w:p>
    <w:p w:rsidR="001676D5" w:rsidRPr="006E1CD2" w:rsidRDefault="001676D5"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(د) تتخذ جميع التدابير اللازمة لضمان حصول النساء المحرومات من حريتهن على فرص للعمل والتعليم والرياضة والترفيه.</w:t>
      </w:r>
    </w:p>
    <w:p w:rsidR="001676D5" w:rsidRDefault="001676D5" w:rsidP="00B433AB">
      <w:pPr>
        <w:pStyle w:val="NormalWeb"/>
        <w:jc w:val="both"/>
        <w:rPr>
          <w:rFonts w:asciiTheme="minorBidi" w:hAnsiTheme="minorBidi" w:cstheme="minorBidi"/>
          <w:color w:val="000000"/>
          <w:sz w:val="28"/>
          <w:szCs w:val="28"/>
        </w:rPr>
      </w:pPr>
    </w:p>
    <w:p w:rsidR="00F00DB3" w:rsidRDefault="00F00DB3" w:rsidP="00B433AB">
      <w:pPr>
        <w:pStyle w:val="NormalWeb"/>
        <w:jc w:val="both"/>
        <w:rPr>
          <w:rFonts w:asciiTheme="minorBidi" w:hAnsiTheme="minorBidi" w:cstheme="minorBidi"/>
          <w:color w:val="000000"/>
          <w:sz w:val="28"/>
          <w:szCs w:val="28"/>
        </w:rPr>
      </w:pPr>
    </w:p>
    <w:p w:rsidR="00B433AB" w:rsidRPr="006E1CD2" w:rsidRDefault="00B433AB" w:rsidP="00B433AB">
      <w:pPr>
        <w:pStyle w:val="NormalWeb"/>
        <w:jc w:val="both"/>
        <w:rPr>
          <w:rFonts w:asciiTheme="minorBidi" w:hAnsiTheme="minorBidi" w:cstheme="minorBidi"/>
          <w:color w:val="000000"/>
          <w:sz w:val="28"/>
          <w:szCs w:val="28"/>
          <w:rtl/>
        </w:rPr>
      </w:pPr>
    </w:p>
    <w:p w:rsidR="001676D5" w:rsidRPr="006E1CD2" w:rsidRDefault="001676D5"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ج. مؤسسات الدولة الأخرى</w:t>
      </w:r>
    </w:p>
    <w:p w:rsidR="001676D5" w:rsidRPr="006E1CD2" w:rsidRDefault="001676D5" w:rsidP="00B433AB">
      <w:pPr>
        <w:pStyle w:val="NormalWeb"/>
        <w:jc w:val="both"/>
        <w:rPr>
          <w:rFonts w:asciiTheme="minorBidi" w:hAnsiTheme="minorBidi" w:cstheme="minorBidi"/>
          <w:color w:val="000000"/>
          <w:sz w:val="28"/>
          <w:szCs w:val="28"/>
          <w:rtl/>
        </w:rPr>
      </w:pPr>
    </w:p>
    <w:p w:rsidR="001676D5" w:rsidRPr="006E1CD2" w:rsidRDefault="001676D5"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أ. الأشخاص ذوو الإعاقة في مركز التأهيل في بيت لحم</w:t>
      </w:r>
    </w:p>
    <w:p w:rsidR="001676D5" w:rsidRPr="006E1CD2" w:rsidRDefault="001676D5" w:rsidP="00B433AB">
      <w:pPr>
        <w:pStyle w:val="NormalWeb"/>
        <w:jc w:val="both"/>
        <w:rPr>
          <w:rFonts w:asciiTheme="minorBidi" w:hAnsiTheme="minorBidi" w:cstheme="minorBidi"/>
          <w:color w:val="000000"/>
          <w:sz w:val="28"/>
          <w:szCs w:val="28"/>
          <w:rtl/>
        </w:rPr>
      </w:pPr>
    </w:p>
    <w:p w:rsidR="001676D5" w:rsidRPr="006E1CD2" w:rsidRDefault="001676D5"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106. يعد مركز التأهيل في بيت لحم، التابع لوزارة الصحة، المستشفى النفسي الوحيد في الدولة الطرف. يضم المركز أقسامًا للرجال والنساء وكبار السن من ذوي الإعاقة وتأهيل مدمني المخدرات والمرضى النفسيين القضائيين. المركز يعاني من نقص مزمن في الكوادر وبالتالي لا يُستخدم بكامل طاقته. في وقت الزيارة، كان هناك طبيبان و76 ممرضًا و14 موظفًا متخصصًا فقط يقدمون المساعدة لـ138 مريضًا. يتوفر طبيب عام وطبيب نفسي في الموقع، لكن المرضى يحتاجون إلى النقل إلى المستشفى لتلقي الخدمات الطبية التخصصية. توجد تأخيرات كبيرة في هذه التنقلات، حيث يمتلك المركز مركبة واحدة فقط تحت تصرفه.</w:t>
      </w:r>
    </w:p>
    <w:p w:rsidR="001676D5" w:rsidRPr="006E1CD2" w:rsidRDefault="001676D5" w:rsidP="00B433AB">
      <w:pPr>
        <w:pStyle w:val="NormalWeb"/>
        <w:jc w:val="both"/>
        <w:rPr>
          <w:rFonts w:asciiTheme="minorBidi" w:hAnsiTheme="minorBidi" w:cstheme="minorBidi"/>
          <w:color w:val="000000"/>
          <w:sz w:val="28"/>
          <w:szCs w:val="28"/>
          <w:rtl/>
        </w:rPr>
      </w:pPr>
    </w:p>
    <w:p w:rsidR="001676D5" w:rsidRPr="006E1CD2" w:rsidRDefault="001676D5"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107. رغم الإشارة إلى مشروع تدريب سابق حول تقنيات الوقاية وخفض التصعيد الذي قُدم للموظفين، اشتكى الطاقم من نقص التدريب المستمر في هذا الموضوع. يُعد هذا الأمر مهمًا بشكل خاص بالنظر إلى الادعاءات التي تلقاها الموظفون بشأن التهديدات الأمنية المستمرة من المرضى المضطربين وكذلك من عائلاتهم.</w:t>
      </w:r>
    </w:p>
    <w:p w:rsidR="00031816" w:rsidRPr="006E1CD2" w:rsidRDefault="00031816"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108. يمكن استخدام العلاجات الطبية القسرية، والقيود الجسدية والكيميائية، والعلاج بالصدمات الكهربائية في الدولة الطرف. يُطلب فقط موافقة أحد أفراد أسرة المريض مسبقًا. وخلال الزيارة، لاحظ الوفد وجود عدة أشخاص تحت تأثير المهدئات، بما في ذلك شخص واحد وُضع في زنزانة انفرادية. علاوة على ذلك، يبقى العديد من المرضى لفترات طويلة في المركز حتى بعد الإفراج عنهم، حيث ترفض أسرهم غالبًا إعادتهم إلى المنزل. وكما ذكر سابقًا، لم تعتمد الدولة الطرف قانونًا شاملًا للصحة النفسية يمكن أن يعالج هذه القضايا.</w:t>
      </w:r>
    </w:p>
    <w:p w:rsidR="00031816" w:rsidRPr="006E1CD2" w:rsidRDefault="00031816" w:rsidP="00B433AB">
      <w:pPr>
        <w:pStyle w:val="NormalWeb"/>
        <w:jc w:val="both"/>
        <w:rPr>
          <w:rFonts w:asciiTheme="minorBidi" w:hAnsiTheme="minorBidi" w:cstheme="minorBidi"/>
          <w:color w:val="000000"/>
          <w:sz w:val="28"/>
          <w:szCs w:val="28"/>
          <w:rtl/>
        </w:rPr>
      </w:pPr>
    </w:p>
    <w:p w:rsidR="00031816" w:rsidRPr="006E1CD2" w:rsidRDefault="00031816"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109. ينبغي للدولة الطرف أن:</w:t>
      </w:r>
    </w:p>
    <w:p w:rsidR="00031816" w:rsidRPr="006E1CD2" w:rsidRDefault="00031816" w:rsidP="00B433AB">
      <w:pPr>
        <w:pStyle w:val="NormalWeb"/>
        <w:jc w:val="both"/>
        <w:rPr>
          <w:rFonts w:asciiTheme="minorBidi" w:hAnsiTheme="minorBidi" w:cstheme="minorBidi"/>
          <w:color w:val="000000"/>
          <w:sz w:val="28"/>
          <w:szCs w:val="28"/>
          <w:rtl/>
        </w:rPr>
      </w:pPr>
    </w:p>
    <w:p w:rsidR="00031816" w:rsidRPr="006E1CD2" w:rsidRDefault="00031816"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(أ) تتخذ تدابير لضمان توفر الموارد البشرية الكافية في مركز التأهيل، وتطوير حزم مهنية وحوافز لجذب الكوادر المؤهلة؛</w:t>
      </w:r>
    </w:p>
    <w:p w:rsidR="00031816" w:rsidRPr="006E1CD2" w:rsidRDefault="00031816"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lastRenderedPageBreak/>
        <w:t>(ب) تضمن أن يخضع جميع الموظفين الطبيين وغير الطبيين لتدريب منتظم على تقنيات خفض التصعيد وأساليب الرعاية غير العنيفة وغير القسرية؛</w:t>
      </w:r>
    </w:p>
    <w:p w:rsidR="00031816" w:rsidRPr="006E1CD2" w:rsidRDefault="00031816"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(ج) تضمن عدم استخدام الأدوية كوسيلة للتحكم لتعويض نقص الموظفين، وأن يتم السعي بشكل منهجي للحصول على موافقة مستنيرة للعلاج؛</w:t>
      </w:r>
    </w:p>
    <w:p w:rsidR="00031816" w:rsidRPr="006E1CD2" w:rsidRDefault="00031816"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(د) تعتمد قانون الصحة النفسية على وجه السرعة لحظر العلاجات الطبية القسرية، والقيود الجسدية والكيميائية، والحبس الانفرادي للأشخاص ذوي الإعاقات النفسية الاجتماعية أو الذهنية في المؤسسات النفسية؛</w:t>
      </w:r>
    </w:p>
    <w:p w:rsidR="00031816" w:rsidRPr="006E1CD2" w:rsidRDefault="00031816"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(هـ) تبدأ بتنفيذ خطتها لإصلاح المؤسسات النفسية وزيادة جهودها في توفير الأنشطة العلاجية وإعادة التأهيل للمرضى وتطوير الرعاية النفسية المجتمعية؛</w:t>
      </w:r>
    </w:p>
    <w:p w:rsidR="00031816" w:rsidRPr="006E1CD2" w:rsidRDefault="00031816" w:rsidP="00B433AB">
      <w:pPr>
        <w:pStyle w:val="NormalWeb"/>
        <w:bidi/>
        <w:jc w:val="both"/>
        <w:rPr>
          <w:rFonts w:asciiTheme="minorBidi" w:hAnsiTheme="minorBidi" w:cstheme="minorBidi"/>
          <w:color w:val="000000"/>
          <w:sz w:val="28"/>
          <w:szCs w:val="28"/>
          <w:rtl/>
        </w:rPr>
      </w:pPr>
      <w:r w:rsidRPr="006E1CD2">
        <w:rPr>
          <w:rFonts w:asciiTheme="minorBidi" w:hAnsiTheme="minorBidi" w:cstheme="minorBidi"/>
          <w:color w:val="000000"/>
          <w:sz w:val="28"/>
          <w:szCs w:val="28"/>
          <w:rtl/>
        </w:rPr>
        <w:t>(و) تضمن مراقبة كافية للمؤسسات النفسية ووضع ضمانات فعالة لمنع أي تعذيب أو سوء معاملة للأشخاص في هذه المرافق.</w:t>
      </w:r>
    </w:p>
    <w:p w:rsidR="00031816" w:rsidRPr="006E1CD2" w:rsidRDefault="00031816" w:rsidP="00B433AB">
      <w:pPr>
        <w:pStyle w:val="NormalWeb"/>
        <w:jc w:val="both"/>
        <w:rPr>
          <w:rFonts w:asciiTheme="minorBidi" w:hAnsiTheme="minorBidi" w:cstheme="minorBidi"/>
          <w:color w:val="000000"/>
          <w:sz w:val="28"/>
          <w:szCs w:val="28"/>
          <w:rtl/>
        </w:rPr>
      </w:pPr>
    </w:p>
    <w:p w:rsidR="00031816" w:rsidRPr="006E1CD2" w:rsidRDefault="00031816"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110. يحتوي مركز التأهيل في بيت لحم أيضًا على قسم مخصص للمرضى النفسيين القضائيين الذين يتم تحويلهم من نظام العدالة الجنائية، ولكنه يفتقر إلى الطاقم الطبي وكذلك حراس الأمن. وبالتالي، يبقى معظم الأشخاص الذين يحتاجون إلى الرعاية الطبية والعلاج والمساعدة المتخصصة محتجزين مع عموم السجناء، دون توفير أي ترتيبات معقولة لهم.</w:t>
      </w:r>
    </w:p>
    <w:p w:rsidR="00031816" w:rsidRPr="006E1CD2" w:rsidRDefault="00031816" w:rsidP="00B433AB">
      <w:pPr>
        <w:pStyle w:val="NormalWeb"/>
        <w:jc w:val="both"/>
        <w:rPr>
          <w:rFonts w:asciiTheme="minorBidi" w:hAnsiTheme="minorBidi" w:cstheme="minorBidi"/>
          <w:color w:val="000000"/>
          <w:sz w:val="28"/>
          <w:szCs w:val="28"/>
          <w:rtl/>
        </w:rPr>
      </w:pPr>
    </w:p>
    <w:p w:rsidR="00031816" w:rsidRPr="006E1CD2" w:rsidRDefault="00031816"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111. ينبغي للدولة الطرف أن تضمن توفير عدد كافٍ من الطاقم الطبي والأمني في قسم الطب النفسي القضائي لتقديم الرعاية الطبية المناسبة عند الحاجة.</w:t>
      </w:r>
    </w:p>
    <w:p w:rsidR="00031816" w:rsidRPr="006E1CD2" w:rsidRDefault="00031816" w:rsidP="00B433AB">
      <w:pPr>
        <w:pStyle w:val="NormalWeb"/>
        <w:jc w:val="both"/>
        <w:rPr>
          <w:rFonts w:asciiTheme="minorBidi" w:hAnsiTheme="minorBidi" w:cstheme="minorBidi"/>
          <w:color w:val="000000"/>
          <w:sz w:val="28"/>
          <w:szCs w:val="28"/>
          <w:rtl/>
        </w:rPr>
      </w:pPr>
    </w:p>
    <w:p w:rsidR="00031816" w:rsidRPr="006E1CD2" w:rsidRDefault="00031816"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خامسًا: الخطوات التالية</w:t>
      </w:r>
    </w:p>
    <w:p w:rsidR="00031816" w:rsidRPr="006E1CD2" w:rsidRDefault="00031816" w:rsidP="00B433AB">
      <w:pPr>
        <w:pStyle w:val="NormalWeb"/>
        <w:jc w:val="both"/>
        <w:rPr>
          <w:rFonts w:asciiTheme="minorBidi" w:hAnsiTheme="minorBidi" w:cstheme="minorBidi"/>
          <w:color w:val="000000"/>
          <w:sz w:val="28"/>
          <w:szCs w:val="28"/>
          <w:rtl/>
        </w:rPr>
      </w:pPr>
    </w:p>
    <w:p w:rsidR="00031816" w:rsidRPr="006E1CD2" w:rsidRDefault="00031816"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112. يطلب الفريق الفرعي تقديم رد على هذا التقرير خلال ستة أشهر من تاريخ إرساله إلى البعثة الدائمة لدولة فلسطين. ينبغي أن يستجيب الرد مباشرة لجميع التوصيات والطلبات الواردة في التقرير، مع تقديم وصف كامل للإجراءات التي تم اتخاذها أو المخطط لها (بما في ذلك الجداول الزمنية) لتنفيذ التوصيات. كما يجب أن يتضمن تفاصيل حول تنفيذ التوصيات الخاصة بالمؤسسات وأيضًا حول السياسات والممارسات العامة.</w:t>
      </w:r>
    </w:p>
    <w:p w:rsidR="00031816" w:rsidRPr="006E1CD2" w:rsidRDefault="00031816" w:rsidP="00B433AB">
      <w:pPr>
        <w:pStyle w:val="NormalWeb"/>
        <w:jc w:val="both"/>
        <w:rPr>
          <w:rFonts w:asciiTheme="minorBidi" w:hAnsiTheme="minorBidi" w:cstheme="minorBidi"/>
          <w:color w:val="000000"/>
          <w:sz w:val="28"/>
          <w:szCs w:val="28"/>
          <w:rtl/>
        </w:rPr>
      </w:pPr>
    </w:p>
    <w:p w:rsidR="00031816" w:rsidRPr="006E1CD2" w:rsidRDefault="00031816"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 xml:space="preserve">113. تنص المادة 15 من البروتوكول الاختياري على حظر جميع أشكال العقوبات أو الانتقام، من جميع المصادر، ضد أي شخص كان أو حاول أن يكون على اتصال مع الفريق الفرعي. يذكر الفريق </w:t>
      </w:r>
      <w:r w:rsidRPr="006E1CD2">
        <w:rPr>
          <w:rFonts w:asciiTheme="minorBidi" w:hAnsiTheme="minorBidi" w:cstheme="minorBidi"/>
          <w:color w:val="000000"/>
          <w:sz w:val="28"/>
          <w:szCs w:val="28"/>
          <w:rtl/>
        </w:rPr>
        <w:lastRenderedPageBreak/>
        <w:t>الفرعي دولة فلسطين بالتزامها بضمان عدم حدوث مثل هذه العقوبات أو الانتقام، ويطلب في ردها تقديم معلومات مفصلة حول الخطوات التي اتخذتها لضمان الوفاء بهذا الالتزام.</w:t>
      </w:r>
    </w:p>
    <w:p w:rsidR="004C13D1" w:rsidRPr="006E1CD2" w:rsidRDefault="004C13D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114. يذكر الفريق الفرعي بأن الوقاية من التعذيب وسوء المعاملة هي التزام مستمر وواسع النطاق. لذلك، يطلب من دولة فلسطين إبلاغه بأي تطورات تشريعية أو تنظيمية أو سياسية أو غيرها من التطورات ذات الصلة المتعلقة بمعاملة الأشخاص المحرومين من حريتهم وبشأن إنشاء وعمل الآلية الوطنية للوقاية.</w:t>
      </w:r>
    </w:p>
    <w:p w:rsidR="004C13D1" w:rsidRPr="006E1CD2" w:rsidRDefault="004C13D1" w:rsidP="00B433AB">
      <w:pPr>
        <w:pStyle w:val="NormalWeb"/>
        <w:jc w:val="both"/>
        <w:rPr>
          <w:rFonts w:asciiTheme="minorBidi" w:hAnsiTheme="minorBidi" w:cstheme="minorBidi"/>
          <w:color w:val="000000"/>
          <w:sz w:val="28"/>
          <w:szCs w:val="28"/>
          <w:rtl/>
        </w:rPr>
      </w:pPr>
    </w:p>
    <w:p w:rsidR="004C13D1" w:rsidRPr="006E1CD2" w:rsidRDefault="004C13D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115. يعتبر الفريق الفرعي أن زيارته والتقرير الحالي يشكلان جزءًا من عملية مستمرة للحوار. يتطلع الفريق الفرعي إلى مساعدة دولة فلسطين في الوفاء بالتزاماتها بموجب البروتوكول الاختياري من خلال تقديم المزيد من المشورة والمساعدة الفنية، لتحقيق الهدف المشترك المتمثل في الوقاية من التعذيب وسوء المعاملة في أماكن الحرمان من الحرية. يعتقد الفريق الفرعي أن الطريقة الأكثر كفاءة وفعالية لتطوير الحوار ستكون من خلال اجتماعه مع السلطات الوطنية المسؤولة عن تنفيذ توصيات الفريق الفرعي في غضون ستة أشهر من تلقي الرد على هذا التقرير.</w:t>
      </w:r>
    </w:p>
    <w:p w:rsidR="004C13D1" w:rsidRPr="006E1CD2" w:rsidRDefault="004C13D1" w:rsidP="00B433AB">
      <w:pPr>
        <w:pStyle w:val="NormalWeb"/>
        <w:jc w:val="both"/>
        <w:rPr>
          <w:rFonts w:asciiTheme="minorBidi" w:hAnsiTheme="minorBidi" w:cstheme="minorBidi"/>
          <w:color w:val="000000"/>
          <w:sz w:val="28"/>
          <w:szCs w:val="28"/>
          <w:rtl/>
        </w:rPr>
      </w:pPr>
    </w:p>
    <w:p w:rsidR="004C13D1" w:rsidRDefault="004C13D1" w:rsidP="00B433AB">
      <w:pPr>
        <w:pStyle w:val="NormalWeb"/>
        <w:bidi/>
        <w:jc w:val="both"/>
        <w:rPr>
          <w:rFonts w:asciiTheme="minorBidi" w:hAnsiTheme="minorBidi" w:cstheme="minorBidi"/>
          <w:color w:val="000000"/>
          <w:sz w:val="28"/>
          <w:szCs w:val="28"/>
        </w:rPr>
      </w:pPr>
      <w:r w:rsidRPr="006E1CD2">
        <w:rPr>
          <w:rFonts w:asciiTheme="minorBidi" w:hAnsiTheme="minorBidi" w:cstheme="minorBidi"/>
          <w:color w:val="000000"/>
          <w:sz w:val="28"/>
          <w:szCs w:val="28"/>
          <w:rtl/>
        </w:rPr>
        <w:t>116. يوصي الفريق الفرعي، وفقًا للمادة 12 (د) من البروتوكول الاختياري، بأن تدخل السلطات الوطنية لدولة فلسطين في حوار مع الفريق الفرعي حول تنفيذ توصياته، في غضون ستة أشهر من استلام الفريق الفرعي للرد على هذا التقرير.</w:t>
      </w:r>
    </w:p>
    <w:p w:rsidR="00F33225" w:rsidRDefault="00F33225" w:rsidP="00F33225">
      <w:pPr>
        <w:pStyle w:val="NormalWeb"/>
        <w:bidi/>
        <w:jc w:val="both"/>
        <w:rPr>
          <w:rFonts w:asciiTheme="minorBidi" w:hAnsiTheme="minorBidi" w:cstheme="minorBidi"/>
          <w:color w:val="000000"/>
          <w:sz w:val="28"/>
          <w:szCs w:val="28"/>
        </w:rPr>
      </w:pPr>
    </w:p>
    <w:p w:rsidR="00F33225" w:rsidRDefault="00F33225" w:rsidP="00F33225">
      <w:pPr>
        <w:pStyle w:val="NormalWeb"/>
        <w:bidi/>
        <w:jc w:val="both"/>
        <w:rPr>
          <w:rFonts w:asciiTheme="minorBidi" w:hAnsiTheme="minorBidi" w:cstheme="minorBidi"/>
          <w:color w:val="000000"/>
          <w:sz w:val="28"/>
          <w:szCs w:val="28"/>
        </w:rPr>
      </w:pPr>
    </w:p>
    <w:p w:rsidR="00F33225" w:rsidRDefault="00F33225" w:rsidP="00F33225">
      <w:pPr>
        <w:pStyle w:val="NormalWeb"/>
        <w:bidi/>
        <w:jc w:val="both"/>
        <w:rPr>
          <w:rFonts w:asciiTheme="minorBidi" w:hAnsiTheme="minorBidi" w:cstheme="minorBidi"/>
          <w:color w:val="000000"/>
          <w:sz w:val="28"/>
          <w:szCs w:val="28"/>
        </w:rPr>
      </w:pPr>
    </w:p>
    <w:p w:rsidR="00F00DB3" w:rsidRDefault="00F00DB3" w:rsidP="00F00DB3">
      <w:pPr>
        <w:pStyle w:val="NormalWeb"/>
        <w:bidi/>
        <w:jc w:val="both"/>
        <w:rPr>
          <w:rFonts w:asciiTheme="minorBidi" w:hAnsiTheme="minorBidi" w:cstheme="minorBidi"/>
          <w:color w:val="000000"/>
          <w:sz w:val="28"/>
          <w:szCs w:val="28"/>
        </w:rPr>
      </w:pPr>
    </w:p>
    <w:p w:rsidR="00F00DB3" w:rsidRDefault="00F00DB3" w:rsidP="00F00DB3">
      <w:pPr>
        <w:pStyle w:val="NormalWeb"/>
        <w:bidi/>
        <w:jc w:val="both"/>
        <w:rPr>
          <w:rFonts w:asciiTheme="minorBidi" w:hAnsiTheme="minorBidi" w:cstheme="minorBidi"/>
          <w:color w:val="000000"/>
          <w:sz w:val="28"/>
          <w:szCs w:val="28"/>
        </w:rPr>
      </w:pPr>
    </w:p>
    <w:p w:rsidR="00F00DB3" w:rsidRDefault="00F00DB3" w:rsidP="00F00DB3">
      <w:pPr>
        <w:pStyle w:val="NormalWeb"/>
        <w:bidi/>
        <w:jc w:val="both"/>
        <w:rPr>
          <w:rFonts w:asciiTheme="minorBidi" w:hAnsiTheme="minorBidi" w:cstheme="minorBidi"/>
          <w:color w:val="000000"/>
          <w:sz w:val="28"/>
          <w:szCs w:val="28"/>
        </w:rPr>
      </w:pPr>
    </w:p>
    <w:p w:rsidR="00F00DB3" w:rsidRDefault="00F00DB3" w:rsidP="00F00DB3">
      <w:pPr>
        <w:pStyle w:val="NormalWeb"/>
        <w:bidi/>
        <w:jc w:val="both"/>
        <w:rPr>
          <w:rFonts w:asciiTheme="minorBidi" w:hAnsiTheme="minorBidi" w:cstheme="minorBidi"/>
          <w:color w:val="000000"/>
          <w:sz w:val="28"/>
          <w:szCs w:val="28"/>
        </w:rPr>
      </w:pPr>
    </w:p>
    <w:p w:rsidR="00F00DB3" w:rsidRDefault="00F00DB3" w:rsidP="00F00DB3">
      <w:pPr>
        <w:pStyle w:val="NormalWeb"/>
        <w:bidi/>
        <w:jc w:val="both"/>
        <w:rPr>
          <w:rFonts w:asciiTheme="minorBidi" w:hAnsiTheme="minorBidi" w:cstheme="minorBidi"/>
          <w:color w:val="000000"/>
          <w:sz w:val="28"/>
          <w:szCs w:val="28"/>
        </w:rPr>
      </w:pPr>
    </w:p>
    <w:p w:rsidR="00F00DB3" w:rsidRDefault="00F00DB3" w:rsidP="00F00DB3">
      <w:pPr>
        <w:pStyle w:val="NormalWeb"/>
        <w:bidi/>
        <w:jc w:val="both"/>
        <w:rPr>
          <w:rFonts w:asciiTheme="minorBidi" w:hAnsiTheme="minorBidi" w:cstheme="minorBidi"/>
          <w:color w:val="000000"/>
          <w:sz w:val="28"/>
          <w:szCs w:val="28"/>
        </w:rPr>
      </w:pPr>
    </w:p>
    <w:p w:rsidR="00F00DB3" w:rsidRDefault="00F00DB3" w:rsidP="00F00DB3">
      <w:pPr>
        <w:pStyle w:val="NormalWeb"/>
        <w:bidi/>
        <w:jc w:val="both"/>
        <w:rPr>
          <w:rFonts w:asciiTheme="minorBidi" w:hAnsiTheme="minorBidi" w:cstheme="minorBidi"/>
          <w:color w:val="000000"/>
          <w:sz w:val="28"/>
          <w:szCs w:val="28"/>
        </w:rPr>
      </w:pPr>
    </w:p>
    <w:p w:rsidR="00F00DB3" w:rsidRDefault="00F00DB3" w:rsidP="00F00DB3">
      <w:pPr>
        <w:pStyle w:val="NormalWeb"/>
        <w:bidi/>
        <w:jc w:val="both"/>
        <w:rPr>
          <w:rFonts w:asciiTheme="minorBidi" w:hAnsiTheme="minorBidi" w:cstheme="minorBidi"/>
          <w:color w:val="000000"/>
          <w:sz w:val="28"/>
          <w:szCs w:val="28"/>
        </w:rPr>
      </w:pPr>
    </w:p>
    <w:p w:rsidR="00F00DB3" w:rsidRDefault="00F00DB3" w:rsidP="00F00DB3">
      <w:pPr>
        <w:pStyle w:val="NormalWeb"/>
        <w:bidi/>
        <w:jc w:val="both"/>
        <w:rPr>
          <w:rFonts w:asciiTheme="minorBidi" w:hAnsiTheme="minorBidi" w:cstheme="minorBidi"/>
          <w:color w:val="000000"/>
          <w:sz w:val="28"/>
          <w:szCs w:val="28"/>
        </w:rPr>
      </w:pPr>
    </w:p>
    <w:p w:rsidR="00F00DB3" w:rsidRDefault="00F00DB3" w:rsidP="00F00DB3">
      <w:pPr>
        <w:pStyle w:val="NormalWeb"/>
        <w:bidi/>
        <w:jc w:val="both"/>
        <w:rPr>
          <w:rFonts w:asciiTheme="minorBidi" w:hAnsiTheme="minorBidi" w:cstheme="minorBidi"/>
          <w:color w:val="000000"/>
          <w:sz w:val="28"/>
          <w:szCs w:val="28"/>
        </w:rPr>
      </w:pPr>
    </w:p>
    <w:p w:rsidR="00F33225" w:rsidRPr="006E1CD2" w:rsidRDefault="00F33225" w:rsidP="00F33225">
      <w:pPr>
        <w:pStyle w:val="NormalWeb"/>
        <w:bidi/>
        <w:jc w:val="both"/>
        <w:rPr>
          <w:rFonts w:asciiTheme="minorBidi" w:hAnsiTheme="minorBidi" w:cstheme="minorBidi"/>
          <w:color w:val="000000"/>
          <w:sz w:val="28"/>
          <w:szCs w:val="28"/>
        </w:rPr>
      </w:pPr>
    </w:p>
    <w:p w:rsidR="00F33225" w:rsidRPr="00F00DB3" w:rsidRDefault="00F33225" w:rsidP="00F33225">
      <w:pPr>
        <w:pStyle w:val="NormalWeb"/>
        <w:bidi/>
        <w:rPr>
          <w:rFonts w:ascii="Arial" w:hAnsi="Arial" w:cs="Arial"/>
          <w:b/>
          <w:bCs/>
          <w:color w:val="000000"/>
          <w:sz w:val="23"/>
          <w:szCs w:val="23"/>
        </w:rPr>
      </w:pPr>
      <w:r w:rsidRPr="00F00DB3">
        <w:rPr>
          <w:rFonts w:ascii="Arial" w:hAnsi="Arial" w:cs="Arial"/>
          <w:b/>
          <w:bCs/>
          <w:color w:val="000000"/>
          <w:sz w:val="23"/>
          <w:szCs w:val="23"/>
          <w:rtl/>
        </w:rPr>
        <w:t>الملحق الأول</w:t>
      </w:r>
    </w:p>
    <w:p w:rsidR="00F33225" w:rsidRPr="00F00DB3" w:rsidRDefault="00F33225" w:rsidP="00F33225">
      <w:pPr>
        <w:pStyle w:val="NormalWeb"/>
        <w:bidi/>
        <w:rPr>
          <w:rFonts w:ascii="Arial" w:hAnsi="Arial" w:cs="Arial"/>
          <w:b/>
          <w:bCs/>
          <w:color w:val="000000"/>
          <w:sz w:val="23"/>
          <w:szCs w:val="23"/>
          <w:rtl/>
        </w:rPr>
      </w:pPr>
      <w:r w:rsidRPr="00F00DB3">
        <w:rPr>
          <w:rFonts w:ascii="Arial" w:hAnsi="Arial" w:cs="Arial"/>
          <w:b/>
          <w:bCs/>
          <w:color w:val="000000"/>
          <w:sz w:val="23"/>
          <w:szCs w:val="23"/>
          <w:rtl/>
        </w:rPr>
        <w:t>قائمة أماكن الحرمان من الحرية التي زارها الفريق الفرعي</w:t>
      </w:r>
    </w:p>
    <w:p w:rsidR="00F33225" w:rsidRDefault="00F33225" w:rsidP="00F33225">
      <w:pPr>
        <w:pStyle w:val="NormalWeb"/>
        <w:rPr>
          <w:rFonts w:ascii="Arial" w:hAnsi="Arial" w:cs="Arial"/>
          <w:color w:val="000000"/>
          <w:sz w:val="23"/>
          <w:szCs w:val="23"/>
          <w:rtl/>
        </w:rPr>
      </w:pPr>
    </w:p>
    <w:p w:rsidR="00F33225" w:rsidRPr="00F00DB3" w:rsidRDefault="00F33225" w:rsidP="00F33225">
      <w:pPr>
        <w:pStyle w:val="NormalWeb"/>
        <w:bidi/>
        <w:rPr>
          <w:rFonts w:ascii="Arial" w:hAnsi="Arial" w:cs="Arial"/>
          <w:b/>
          <w:bCs/>
          <w:color w:val="000000"/>
          <w:sz w:val="23"/>
          <w:szCs w:val="23"/>
        </w:rPr>
      </w:pPr>
      <w:r w:rsidRPr="00F00DB3">
        <w:rPr>
          <w:rFonts w:ascii="Arial" w:hAnsi="Arial" w:cs="Arial"/>
          <w:b/>
          <w:bCs/>
          <w:color w:val="000000"/>
          <w:sz w:val="23"/>
          <w:szCs w:val="23"/>
          <w:rtl/>
        </w:rPr>
        <w:t>السجون:</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الإصلاح والتأهيل في الظاهرية، الخليل</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الإصلاح والتأهيل في رام الله</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الإصلاح والتأهيل في نابلس</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الإصلاح والتأهيل في أريحا</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الإصلاح وإعادة التأهيل العسكري الجانيد في نابلس</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الإصلاح والتأهيل في بيت لحم</w:t>
      </w:r>
    </w:p>
    <w:p w:rsidR="00F33225" w:rsidRDefault="00F33225" w:rsidP="00F33225">
      <w:pPr>
        <w:pStyle w:val="NormalWeb"/>
        <w:rPr>
          <w:rFonts w:ascii="Arial" w:hAnsi="Arial" w:cs="Arial"/>
          <w:color w:val="000000"/>
          <w:sz w:val="23"/>
          <w:szCs w:val="23"/>
          <w:rtl/>
        </w:rPr>
      </w:pPr>
    </w:p>
    <w:p w:rsidR="00F33225" w:rsidRPr="00F00DB3" w:rsidRDefault="00F33225" w:rsidP="00F33225">
      <w:pPr>
        <w:pStyle w:val="NormalWeb"/>
        <w:bidi/>
        <w:rPr>
          <w:rFonts w:ascii="Arial" w:hAnsi="Arial" w:cs="Arial"/>
          <w:b/>
          <w:bCs/>
          <w:color w:val="000000"/>
          <w:sz w:val="23"/>
          <w:szCs w:val="23"/>
        </w:rPr>
      </w:pPr>
      <w:r w:rsidRPr="00F00DB3">
        <w:rPr>
          <w:rFonts w:ascii="Arial" w:hAnsi="Arial" w:cs="Arial"/>
          <w:b/>
          <w:bCs/>
          <w:color w:val="000000"/>
          <w:sz w:val="23"/>
          <w:szCs w:val="23"/>
          <w:rtl/>
        </w:rPr>
        <w:t>مرافق الشرطة والقوات الأمنية: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التحقيق والاحتجاز لجهاز المخابرات العامة في رام الله</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الشرطة في البالوع، رام الله</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التحقيق والاحتجاز لجهاز المخابرات العامة في الخليل</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الشرطة الخاص باحتجاز الأحداث في الخليل</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التحقيق والاحتجاز لجهاز المخابرات العامة في نابلس</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تحقيق واحتجاز الأمن الوقائي في أريحا</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لجنة الأمن المشترك في أريحا</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التحقيق والاحتجاز المركزي لجهاز المخابرات العامة في أريحا</w:t>
      </w:r>
    </w:p>
    <w:p w:rsidR="00F33225" w:rsidRDefault="00F33225" w:rsidP="00F33225">
      <w:pPr>
        <w:pStyle w:val="NormalWeb"/>
        <w:rPr>
          <w:rFonts w:ascii="Arial" w:hAnsi="Arial" w:cs="Arial"/>
          <w:color w:val="000000"/>
          <w:sz w:val="23"/>
          <w:szCs w:val="23"/>
        </w:rPr>
      </w:pPr>
    </w:p>
    <w:p w:rsidR="00F00DB3" w:rsidRDefault="00F00DB3" w:rsidP="00F33225">
      <w:pPr>
        <w:pStyle w:val="NormalWeb"/>
        <w:rPr>
          <w:rFonts w:ascii="Arial" w:hAnsi="Arial" w:cs="Arial"/>
          <w:color w:val="000000"/>
          <w:sz w:val="23"/>
          <w:szCs w:val="23"/>
        </w:rPr>
      </w:pPr>
    </w:p>
    <w:p w:rsidR="00F00DB3" w:rsidRDefault="00F00DB3" w:rsidP="00F33225">
      <w:pPr>
        <w:pStyle w:val="NormalWeb"/>
        <w:rPr>
          <w:rFonts w:ascii="Arial" w:hAnsi="Arial" w:cs="Arial"/>
          <w:color w:val="000000"/>
          <w:sz w:val="23"/>
          <w:szCs w:val="23"/>
        </w:rPr>
      </w:pPr>
    </w:p>
    <w:p w:rsidR="00F00DB3" w:rsidRDefault="00F00DB3" w:rsidP="00F33225">
      <w:pPr>
        <w:pStyle w:val="NormalWeb"/>
        <w:rPr>
          <w:rFonts w:ascii="Arial" w:hAnsi="Arial" w:cs="Arial"/>
          <w:color w:val="000000"/>
          <w:sz w:val="23"/>
          <w:szCs w:val="23"/>
          <w:rtl/>
        </w:rPr>
      </w:pPr>
    </w:p>
    <w:p w:rsidR="00F33225" w:rsidRPr="00F00DB3" w:rsidRDefault="00F33225" w:rsidP="00F33225">
      <w:pPr>
        <w:pStyle w:val="NormalWeb"/>
        <w:bidi/>
        <w:rPr>
          <w:rFonts w:ascii="Arial" w:hAnsi="Arial" w:cs="Arial"/>
          <w:b/>
          <w:bCs/>
          <w:color w:val="000000"/>
          <w:sz w:val="23"/>
          <w:szCs w:val="23"/>
        </w:rPr>
      </w:pPr>
      <w:r w:rsidRPr="00F00DB3">
        <w:rPr>
          <w:rFonts w:ascii="Arial" w:hAnsi="Arial" w:cs="Arial"/>
          <w:b/>
          <w:bCs/>
          <w:color w:val="000000"/>
          <w:sz w:val="23"/>
          <w:szCs w:val="23"/>
          <w:rtl/>
        </w:rPr>
        <w:t>المستشفيات ووحدات الطب الشرعي:</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التأهيل النفسي في ناصرية، بيت لحم</w:t>
      </w:r>
    </w:p>
    <w:p w:rsidR="00F33225" w:rsidRDefault="00F33225" w:rsidP="00F33225">
      <w:pPr>
        <w:pStyle w:val="NormalWeb"/>
        <w:rPr>
          <w:rFonts w:ascii="Arial" w:hAnsi="Arial" w:cs="Arial"/>
          <w:color w:val="000000"/>
          <w:sz w:val="23"/>
          <w:szCs w:val="23"/>
          <w:rtl/>
        </w:rPr>
      </w:pPr>
    </w:p>
    <w:p w:rsidR="00F33225" w:rsidRPr="00F00DB3" w:rsidRDefault="00F33225" w:rsidP="00F33225">
      <w:pPr>
        <w:pStyle w:val="NormalWeb"/>
        <w:bidi/>
        <w:rPr>
          <w:rFonts w:ascii="Arial" w:hAnsi="Arial" w:cs="Arial"/>
          <w:b/>
          <w:bCs/>
          <w:color w:val="000000"/>
          <w:sz w:val="23"/>
          <w:szCs w:val="23"/>
        </w:rPr>
      </w:pPr>
      <w:r w:rsidRPr="00F00DB3">
        <w:rPr>
          <w:rFonts w:ascii="Arial" w:hAnsi="Arial" w:cs="Arial"/>
          <w:b/>
          <w:bCs/>
          <w:color w:val="000000"/>
          <w:sz w:val="23"/>
          <w:szCs w:val="23"/>
          <w:rtl/>
        </w:rPr>
        <w:t>الملحق الثاني</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قائمة المسؤولين الحكوميين وغيرهم من المحاورين الذين التقى بهم الفريق الفرعي</w:t>
      </w:r>
    </w:p>
    <w:p w:rsidR="00F33225" w:rsidRDefault="00F33225" w:rsidP="00F33225">
      <w:pPr>
        <w:pStyle w:val="NormalWeb"/>
        <w:rPr>
          <w:rFonts w:ascii="Arial" w:hAnsi="Arial" w:cs="Arial"/>
          <w:color w:val="000000"/>
          <w:sz w:val="23"/>
          <w:szCs w:val="23"/>
          <w:rtl/>
        </w:rPr>
      </w:pPr>
    </w:p>
    <w:p w:rsidR="00F33225" w:rsidRDefault="00F33225" w:rsidP="00F33225">
      <w:pPr>
        <w:pStyle w:val="NormalWeb"/>
        <w:bidi/>
        <w:rPr>
          <w:rFonts w:ascii="Arial" w:hAnsi="Arial" w:cs="Arial"/>
          <w:color w:val="000000"/>
          <w:sz w:val="23"/>
          <w:szCs w:val="23"/>
        </w:rPr>
      </w:pPr>
      <w:r>
        <w:rPr>
          <w:rFonts w:ascii="Arial" w:hAnsi="Arial" w:cs="Arial"/>
          <w:color w:val="000000"/>
          <w:sz w:val="23"/>
          <w:szCs w:val="23"/>
          <w:rtl/>
        </w:rPr>
        <w:t>أ. المسؤولون الحكوميون وسلطات الدولة الأخرى</w:t>
      </w:r>
    </w:p>
    <w:p w:rsidR="00F33225" w:rsidRPr="00F0517D" w:rsidRDefault="00F33225" w:rsidP="00F33225">
      <w:pPr>
        <w:pStyle w:val="NormalWeb"/>
        <w:rPr>
          <w:rFonts w:ascii="Arial" w:hAnsi="Arial" w:cs="Arial"/>
          <w:b/>
          <w:bCs/>
          <w:color w:val="000000"/>
          <w:sz w:val="23"/>
          <w:szCs w:val="23"/>
          <w:rtl/>
        </w:rPr>
      </w:pPr>
    </w:p>
    <w:p w:rsidR="00F33225" w:rsidRPr="00F0517D" w:rsidRDefault="00F33225" w:rsidP="00F33225">
      <w:pPr>
        <w:pStyle w:val="NormalWeb"/>
        <w:bidi/>
        <w:rPr>
          <w:rFonts w:ascii="Arial" w:hAnsi="Arial" w:cs="Arial"/>
          <w:b/>
          <w:bCs/>
          <w:color w:val="000000"/>
          <w:sz w:val="23"/>
          <w:szCs w:val="23"/>
        </w:rPr>
      </w:pPr>
      <w:r w:rsidRPr="00F0517D">
        <w:rPr>
          <w:rFonts w:ascii="Arial" w:hAnsi="Arial" w:cs="Arial"/>
          <w:b/>
          <w:bCs/>
          <w:color w:val="000000"/>
          <w:sz w:val="23"/>
          <w:szCs w:val="23"/>
          <w:rtl/>
        </w:rPr>
        <w:t>الوزراء:</w:t>
      </w:r>
    </w:p>
    <w:p w:rsidR="00F33225" w:rsidRDefault="00F33225" w:rsidP="00F33225">
      <w:pPr>
        <w:pStyle w:val="NormalWeb"/>
        <w:rPr>
          <w:rFonts w:ascii="Arial" w:hAnsi="Arial" w:cs="Arial"/>
          <w:color w:val="000000"/>
          <w:sz w:val="23"/>
          <w:szCs w:val="23"/>
          <w:rtl/>
        </w:rPr>
      </w:pPr>
    </w:p>
    <w:p w:rsidR="00F33225" w:rsidRPr="00F0517D" w:rsidRDefault="00F33225" w:rsidP="00F33225">
      <w:pPr>
        <w:pStyle w:val="NormalWeb"/>
        <w:bidi/>
        <w:rPr>
          <w:rFonts w:ascii="Arial" w:hAnsi="Arial" w:cs="Arial"/>
          <w:b/>
          <w:bCs/>
          <w:color w:val="000000"/>
          <w:sz w:val="23"/>
          <w:szCs w:val="23"/>
        </w:rPr>
      </w:pPr>
      <w:r w:rsidRPr="00F0517D">
        <w:rPr>
          <w:rFonts w:ascii="Arial" w:hAnsi="Arial" w:cs="Arial"/>
          <w:b/>
          <w:bCs/>
          <w:color w:val="000000"/>
          <w:sz w:val="23"/>
          <w:szCs w:val="23"/>
          <w:rtl/>
        </w:rPr>
        <w:t>الاسم الجهة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محمد اشتية رئيس الوزراء</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زياد هب الريح وزارة الداخلية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أحمد مجدلاني وزير التنمية الاجتماعية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محمد شلالدة وزير العدل</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آمال حمد وزيرة شؤون المرأة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أمجد أبو عافية ممثل وزارة الخارجية</w:t>
      </w:r>
    </w:p>
    <w:p w:rsidR="00F33225" w:rsidRPr="00F0517D" w:rsidRDefault="00F33225" w:rsidP="00F33225">
      <w:pPr>
        <w:pStyle w:val="NormalWeb"/>
        <w:rPr>
          <w:rFonts w:ascii="Arial" w:hAnsi="Arial" w:cs="Arial"/>
          <w:b/>
          <w:bCs/>
          <w:color w:val="000000"/>
          <w:sz w:val="23"/>
          <w:szCs w:val="23"/>
          <w:rtl/>
        </w:rPr>
      </w:pPr>
    </w:p>
    <w:p w:rsidR="00F33225" w:rsidRPr="00F0517D" w:rsidRDefault="00F33225" w:rsidP="00F33225">
      <w:pPr>
        <w:pStyle w:val="NormalWeb"/>
        <w:bidi/>
        <w:rPr>
          <w:rFonts w:ascii="Arial" w:hAnsi="Arial" w:cs="Arial"/>
          <w:b/>
          <w:bCs/>
          <w:color w:val="000000"/>
          <w:sz w:val="23"/>
          <w:szCs w:val="23"/>
        </w:rPr>
      </w:pPr>
      <w:r w:rsidRPr="00F0517D">
        <w:rPr>
          <w:rFonts w:ascii="Arial" w:hAnsi="Arial" w:cs="Arial"/>
          <w:b/>
          <w:bCs/>
          <w:color w:val="000000"/>
          <w:sz w:val="23"/>
          <w:szCs w:val="23"/>
          <w:rtl/>
        </w:rPr>
        <w:t>وزارة الداخلية (نقطة الاتصال الحكومية):</w:t>
      </w:r>
    </w:p>
    <w:p w:rsidR="00F33225" w:rsidRDefault="00F33225" w:rsidP="00F33225">
      <w:pPr>
        <w:pStyle w:val="NormalWeb"/>
        <w:rPr>
          <w:rFonts w:ascii="Arial" w:hAnsi="Arial" w:cs="Arial"/>
          <w:color w:val="000000"/>
          <w:sz w:val="23"/>
          <w:szCs w:val="23"/>
          <w:rtl/>
        </w:rPr>
      </w:pPr>
    </w:p>
    <w:p w:rsidR="00F33225" w:rsidRDefault="00F33225" w:rsidP="00F33225">
      <w:pPr>
        <w:pStyle w:val="NormalWeb"/>
        <w:bidi/>
        <w:rPr>
          <w:rFonts w:ascii="Arial" w:hAnsi="Arial" w:cs="Arial"/>
          <w:color w:val="000000"/>
          <w:sz w:val="23"/>
          <w:szCs w:val="23"/>
        </w:rPr>
      </w:pPr>
      <w:r>
        <w:rPr>
          <w:rFonts w:ascii="Arial" w:hAnsi="Arial" w:cs="Arial"/>
          <w:color w:val="000000"/>
          <w:sz w:val="23"/>
          <w:szCs w:val="23"/>
          <w:rtl/>
        </w:rPr>
        <w:t>الاسم الوظيفة/الدور</w:t>
      </w:r>
    </w:p>
    <w:p w:rsidR="00F33225" w:rsidRDefault="00F33225" w:rsidP="00F33225">
      <w:pPr>
        <w:pStyle w:val="NormalWeb"/>
        <w:bidi/>
        <w:rPr>
          <w:rFonts w:ascii="Arial" w:hAnsi="Arial" w:cs="Arial"/>
          <w:color w:val="000000"/>
          <w:sz w:val="23"/>
          <w:szCs w:val="23"/>
        </w:rPr>
      </w:pPr>
      <w:r>
        <w:rPr>
          <w:rFonts w:ascii="Arial" w:hAnsi="Arial" w:cs="Arial"/>
          <w:color w:val="000000"/>
          <w:sz w:val="23"/>
          <w:szCs w:val="23"/>
          <w:rtl/>
        </w:rPr>
        <w:t>هيثم عرار رئيس وحدة الديمقراطية وحقوق الإنسان</w:t>
      </w:r>
    </w:p>
    <w:p w:rsidR="00F00DB3" w:rsidRDefault="00F00DB3" w:rsidP="00F00DB3">
      <w:pPr>
        <w:pStyle w:val="NormalWeb"/>
        <w:bidi/>
        <w:rPr>
          <w:rFonts w:ascii="Arial" w:hAnsi="Arial" w:cs="Arial"/>
          <w:color w:val="000000"/>
          <w:sz w:val="23"/>
          <w:szCs w:val="23"/>
        </w:rPr>
      </w:pPr>
    </w:p>
    <w:p w:rsidR="00F00DB3" w:rsidRDefault="00F00DB3" w:rsidP="00F00DB3">
      <w:pPr>
        <w:pStyle w:val="NormalWeb"/>
        <w:bidi/>
        <w:rPr>
          <w:rFonts w:ascii="Arial" w:hAnsi="Arial" w:cs="Arial"/>
          <w:color w:val="000000"/>
          <w:sz w:val="23"/>
          <w:szCs w:val="23"/>
          <w:rtl/>
        </w:rPr>
      </w:pPr>
    </w:p>
    <w:p w:rsidR="00F33225" w:rsidRPr="00F0517D" w:rsidRDefault="00F33225" w:rsidP="00F33225">
      <w:pPr>
        <w:pStyle w:val="NormalWeb"/>
        <w:rPr>
          <w:rFonts w:ascii="Arial" w:hAnsi="Arial" w:cs="Arial"/>
          <w:b/>
          <w:bCs/>
          <w:color w:val="000000"/>
          <w:sz w:val="23"/>
          <w:szCs w:val="23"/>
          <w:rtl/>
        </w:rPr>
      </w:pPr>
    </w:p>
    <w:p w:rsidR="00F33225" w:rsidRPr="00F0517D" w:rsidRDefault="00F33225" w:rsidP="00F33225">
      <w:pPr>
        <w:pStyle w:val="NormalWeb"/>
        <w:bidi/>
        <w:rPr>
          <w:rFonts w:ascii="Arial" w:hAnsi="Arial" w:cs="Arial"/>
          <w:b/>
          <w:bCs/>
          <w:color w:val="000000"/>
          <w:sz w:val="23"/>
          <w:szCs w:val="23"/>
        </w:rPr>
      </w:pPr>
      <w:r w:rsidRPr="00F0517D">
        <w:rPr>
          <w:rFonts w:ascii="Arial" w:hAnsi="Arial" w:cs="Arial"/>
          <w:b/>
          <w:bCs/>
          <w:color w:val="000000"/>
          <w:sz w:val="23"/>
          <w:szCs w:val="23"/>
          <w:rtl/>
        </w:rPr>
        <w:t>مكتب النائب العام:</w:t>
      </w:r>
    </w:p>
    <w:p w:rsidR="00F33225" w:rsidRDefault="00F33225" w:rsidP="00F33225">
      <w:pPr>
        <w:pStyle w:val="NormalWeb"/>
        <w:rPr>
          <w:rFonts w:ascii="Arial" w:hAnsi="Arial" w:cs="Arial"/>
          <w:color w:val="000000"/>
          <w:sz w:val="23"/>
          <w:szCs w:val="23"/>
          <w:rtl/>
        </w:rPr>
      </w:pPr>
    </w:p>
    <w:p w:rsidR="00F33225" w:rsidRPr="00F0517D" w:rsidRDefault="00F33225" w:rsidP="00F33225">
      <w:pPr>
        <w:pStyle w:val="NormalWeb"/>
        <w:bidi/>
        <w:rPr>
          <w:rFonts w:ascii="Arial" w:hAnsi="Arial" w:cs="Arial"/>
          <w:b/>
          <w:bCs/>
          <w:color w:val="000000"/>
          <w:sz w:val="23"/>
          <w:szCs w:val="23"/>
        </w:rPr>
      </w:pPr>
      <w:r w:rsidRPr="00F0517D">
        <w:rPr>
          <w:rFonts w:ascii="Arial" w:hAnsi="Arial" w:cs="Arial"/>
          <w:b/>
          <w:bCs/>
          <w:color w:val="000000"/>
          <w:sz w:val="23"/>
          <w:szCs w:val="23"/>
          <w:rtl/>
        </w:rPr>
        <w:t>الاسم الوظيفة/الدور</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أكرم الخطيب النائب العام</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ثائر خليل رئيس النيابة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جميل سجدية رئيس النيابة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دارين صلحية رئيس النيابة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علاء عواد رئيس النيابة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رشا نبهان مديرة العلاقات الدولية والعامة</w:t>
      </w:r>
    </w:p>
    <w:p w:rsidR="00F33225" w:rsidRDefault="00F33225" w:rsidP="00F33225">
      <w:pPr>
        <w:pStyle w:val="NormalWeb"/>
        <w:rPr>
          <w:rFonts w:ascii="Arial" w:hAnsi="Arial" w:cs="Arial"/>
          <w:color w:val="000000"/>
          <w:sz w:val="23"/>
          <w:szCs w:val="23"/>
          <w:rtl/>
        </w:rPr>
      </w:pPr>
    </w:p>
    <w:p w:rsidR="00F33225" w:rsidRPr="00F0517D" w:rsidRDefault="00F33225" w:rsidP="00F33225">
      <w:pPr>
        <w:pStyle w:val="NormalWeb"/>
        <w:bidi/>
        <w:rPr>
          <w:rFonts w:ascii="Arial" w:hAnsi="Arial" w:cs="Arial"/>
          <w:b/>
          <w:bCs/>
          <w:color w:val="000000"/>
          <w:sz w:val="23"/>
          <w:szCs w:val="23"/>
        </w:rPr>
      </w:pPr>
      <w:r w:rsidRPr="00F0517D">
        <w:rPr>
          <w:rFonts w:ascii="Arial" w:hAnsi="Arial" w:cs="Arial"/>
          <w:b/>
          <w:bCs/>
          <w:color w:val="000000"/>
          <w:sz w:val="23"/>
          <w:szCs w:val="23"/>
          <w:rtl/>
        </w:rPr>
        <w:t>لجنة صياغة قانون الآلية الوطنية للوقاية:</w:t>
      </w:r>
    </w:p>
    <w:p w:rsidR="00F33225" w:rsidRDefault="00F33225" w:rsidP="00F33225">
      <w:pPr>
        <w:pStyle w:val="NormalWeb"/>
        <w:rPr>
          <w:rFonts w:ascii="Arial" w:hAnsi="Arial" w:cs="Arial"/>
          <w:color w:val="000000"/>
          <w:sz w:val="23"/>
          <w:szCs w:val="23"/>
          <w:rtl/>
        </w:rPr>
      </w:pPr>
    </w:p>
    <w:p w:rsidR="00F33225" w:rsidRPr="00F0517D" w:rsidRDefault="00F33225" w:rsidP="00F33225">
      <w:pPr>
        <w:pStyle w:val="NormalWeb"/>
        <w:bidi/>
        <w:rPr>
          <w:rFonts w:ascii="Arial" w:hAnsi="Arial" w:cs="Arial"/>
          <w:b/>
          <w:bCs/>
          <w:color w:val="000000"/>
          <w:sz w:val="23"/>
          <w:szCs w:val="23"/>
        </w:rPr>
      </w:pPr>
      <w:r w:rsidRPr="00F0517D">
        <w:rPr>
          <w:rFonts w:ascii="Arial" w:hAnsi="Arial" w:cs="Arial"/>
          <w:b/>
          <w:bCs/>
          <w:color w:val="000000"/>
          <w:sz w:val="23"/>
          <w:szCs w:val="23"/>
          <w:rtl/>
        </w:rPr>
        <w:t>الاسم الوظيفة/الدور</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رامي حسيني مكتب رئيس الوزراء</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جمال سجدية مكتب النائب العام</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مجدي حمدان وزارة العدل</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سماح سوالحة الجريدة الرسمية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ماجد العصا وزارة الداخلية</w:t>
      </w:r>
    </w:p>
    <w:p w:rsidR="00F33225" w:rsidRDefault="00F33225" w:rsidP="00F33225">
      <w:pPr>
        <w:pStyle w:val="NormalWeb"/>
        <w:rPr>
          <w:rFonts w:ascii="Arial" w:hAnsi="Arial" w:cs="Arial"/>
          <w:color w:val="000000"/>
          <w:sz w:val="23"/>
          <w:szCs w:val="23"/>
        </w:rPr>
      </w:pPr>
    </w:p>
    <w:p w:rsidR="008D139D" w:rsidRDefault="008D139D" w:rsidP="00F33225">
      <w:pPr>
        <w:pStyle w:val="NormalWeb"/>
        <w:rPr>
          <w:rFonts w:ascii="Arial" w:hAnsi="Arial" w:cs="Arial"/>
          <w:color w:val="000000"/>
          <w:sz w:val="23"/>
          <w:szCs w:val="23"/>
        </w:rPr>
      </w:pPr>
    </w:p>
    <w:p w:rsidR="008D139D" w:rsidRDefault="008D139D" w:rsidP="00F33225">
      <w:pPr>
        <w:pStyle w:val="NormalWeb"/>
        <w:rPr>
          <w:rFonts w:ascii="Arial" w:hAnsi="Arial" w:cs="Arial"/>
          <w:color w:val="000000"/>
          <w:sz w:val="23"/>
          <w:szCs w:val="23"/>
        </w:rPr>
      </w:pPr>
    </w:p>
    <w:p w:rsidR="008D139D" w:rsidRDefault="008D139D" w:rsidP="00F33225">
      <w:pPr>
        <w:pStyle w:val="NormalWeb"/>
        <w:rPr>
          <w:rFonts w:ascii="Arial" w:hAnsi="Arial" w:cs="Arial"/>
          <w:color w:val="000000"/>
          <w:sz w:val="23"/>
          <w:szCs w:val="23"/>
        </w:rPr>
      </w:pPr>
    </w:p>
    <w:p w:rsidR="008D139D" w:rsidRDefault="008D139D" w:rsidP="00F33225">
      <w:pPr>
        <w:pStyle w:val="NormalWeb"/>
        <w:rPr>
          <w:rFonts w:ascii="Arial" w:hAnsi="Arial" w:cs="Arial"/>
          <w:color w:val="000000"/>
          <w:sz w:val="23"/>
          <w:szCs w:val="23"/>
          <w:rtl/>
        </w:rPr>
      </w:pPr>
    </w:p>
    <w:p w:rsidR="00F33225" w:rsidRPr="00F0517D" w:rsidRDefault="00F33225" w:rsidP="00F33225">
      <w:pPr>
        <w:pStyle w:val="NormalWeb"/>
        <w:bidi/>
        <w:rPr>
          <w:rFonts w:ascii="Arial" w:hAnsi="Arial" w:cs="Arial"/>
          <w:b/>
          <w:bCs/>
          <w:color w:val="000000"/>
          <w:sz w:val="23"/>
          <w:szCs w:val="23"/>
        </w:rPr>
      </w:pPr>
      <w:r w:rsidRPr="00F0517D">
        <w:rPr>
          <w:rFonts w:ascii="Arial" w:hAnsi="Arial" w:cs="Arial"/>
          <w:b/>
          <w:bCs/>
          <w:color w:val="000000"/>
          <w:sz w:val="23"/>
          <w:szCs w:val="23"/>
          <w:rtl/>
        </w:rPr>
        <w:lastRenderedPageBreak/>
        <w:t>القوات الأمنية:</w:t>
      </w:r>
    </w:p>
    <w:p w:rsidR="00F33225" w:rsidRDefault="00F33225" w:rsidP="00F33225">
      <w:pPr>
        <w:pStyle w:val="NormalWeb"/>
        <w:rPr>
          <w:rFonts w:ascii="Arial" w:hAnsi="Arial" w:cs="Arial"/>
          <w:color w:val="000000"/>
          <w:sz w:val="23"/>
          <w:szCs w:val="23"/>
          <w:rtl/>
        </w:rPr>
      </w:pPr>
    </w:p>
    <w:p w:rsidR="00F33225" w:rsidRPr="008D139D" w:rsidRDefault="00F33225" w:rsidP="00F33225">
      <w:pPr>
        <w:pStyle w:val="NormalWeb"/>
        <w:bidi/>
        <w:rPr>
          <w:rFonts w:ascii="Arial" w:hAnsi="Arial" w:cs="Arial"/>
          <w:b/>
          <w:bCs/>
          <w:color w:val="000000"/>
          <w:sz w:val="23"/>
          <w:szCs w:val="23"/>
        </w:rPr>
      </w:pPr>
      <w:r w:rsidRPr="008D139D">
        <w:rPr>
          <w:rFonts w:ascii="Arial" w:hAnsi="Arial" w:cs="Arial"/>
          <w:b/>
          <w:bCs/>
          <w:color w:val="000000"/>
          <w:sz w:val="23"/>
          <w:szCs w:val="23"/>
          <w:rtl/>
        </w:rPr>
        <w:t>الاسم الوظيفة/الدور</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زياد هب الريح وزير الداخلية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محمد الجبريني نائب الوزير لشؤون الأمن</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يوسف الحلو قائد الشرطة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عبد القادر التعمري قائد الأمن الوقائي</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ميساء البنا رئيس الخدمات الطبية العسكرية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ماهر الفارس نائب رئيس الاستخبارات العسكرية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هشام جرار ممثل جهاز المخابرات العامة</w:t>
      </w:r>
    </w:p>
    <w:p w:rsidR="00F33225" w:rsidRDefault="00F33225" w:rsidP="00F33225">
      <w:pPr>
        <w:pStyle w:val="NormalWeb"/>
        <w:rPr>
          <w:rFonts w:ascii="Arial" w:hAnsi="Arial" w:cs="Arial"/>
          <w:color w:val="000000"/>
          <w:sz w:val="23"/>
          <w:szCs w:val="23"/>
          <w:rtl/>
        </w:rPr>
      </w:pPr>
    </w:p>
    <w:p w:rsidR="00F33225" w:rsidRPr="008D139D" w:rsidRDefault="00F33225" w:rsidP="00F33225">
      <w:pPr>
        <w:pStyle w:val="NormalWeb"/>
        <w:bidi/>
        <w:rPr>
          <w:rFonts w:ascii="Arial" w:hAnsi="Arial" w:cs="Arial"/>
          <w:b/>
          <w:bCs/>
          <w:color w:val="000000"/>
          <w:sz w:val="23"/>
          <w:szCs w:val="23"/>
        </w:rPr>
      </w:pPr>
      <w:r w:rsidRPr="008D139D">
        <w:rPr>
          <w:rFonts w:ascii="Arial" w:hAnsi="Arial" w:cs="Arial"/>
          <w:b/>
          <w:bCs/>
          <w:color w:val="000000"/>
          <w:sz w:val="23"/>
          <w:szCs w:val="23"/>
          <w:rtl/>
        </w:rPr>
        <w:t>ديوان الفتوى والتشريع (الجريدة الرسمية):</w:t>
      </w:r>
    </w:p>
    <w:p w:rsidR="00F33225" w:rsidRPr="008D139D" w:rsidRDefault="00F33225" w:rsidP="00F33225">
      <w:pPr>
        <w:pStyle w:val="NormalWeb"/>
        <w:rPr>
          <w:rFonts w:ascii="Arial" w:hAnsi="Arial" w:cs="Arial"/>
          <w:b/>
          <w:bCs/>
          <w:color w:val="000000"/>
          <w:sz w:val="23"/>
          <w:szCs w:val="23"/>
          <w:rtl/>
        </w:rPr>
      </w:pPr>
    </w:p>
    <w:p w:rsidR="00F33225" w:rsidRPr="008D139D" w:rsidRDefault="00F33225" w:rsidP="00F33225">
      <w:pPr>
        <w:pStyle w:val="NormalWeb"/>
        <w:bidi/>
        <w:rPr>
          <w:rFonts w:ascii="Arial" w:hAnsi="Arial" w:cs="Arial"/>
          <w:b/>
          <w:bCs/>
          <w:color w:val="000000"/>
          <w:sz w:val="23"/>
          <w:szCs w:val="23"/>
        </w:rPr>
      </w:pPr>
      <w:r w:rsidRPr="008D139D">
        <w:rPr>
          <w:rFonts w:ascii="Arial" w:hAnsi="Arial" w:cs="Arial"/>
          <w:b/>
          <w:bCs/>
          <w:color w:val="000000"/>
          <w:sz w:val="23"/>
          <w:szCs w:val="23"/>
          <w:rtl/>
        </w:rPr>
        <w:t>الاسم الوظيفة/الدور</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ريم م. أبو الرب رئيسة مكتب الجريدة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سماح م. سوالحة مستشارة قانونية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نغم ف. مجاهد مستشارة قانونية</w:t>
      </w:r>
    </w:p>
    <w:p w:rsidR="00F33225" w:rsidRDefault="00F33225" w:rsidP="00F33225">
      <w:pPr>
        <w:pStyle w:val="NormalWeb"/>
        <w:rPr>
          <w:rFonts w:ascii="Arial" w:hAnsi="Arial" w:cs="Arial"/>
          <w:color w:val="000000"/>
          <w:sz w:val="23"/>
          <w:szCs w:val="23"/>
          <w:rtl/>
        </w:rPr>
      </w:pPr>
    </w:p>
    <w:p w:rsidR="00F33225" w:rsidRPr="00FA5C40" w:rsidRDefault="00F33225" w:rsidP="00F33225">
      <w:pPr>
        <w:pStyle w:val="NormalWeb"/>
        <w:bidi/>
        <w:rPr>
          <w:rFonts w:ascii="Arial" w:hAnsi="Arial" w:cs="Arial"/>
          <w:b/>
          <w:bCs/>
          <w:color w:val="000000"/>
          <w:sz w:val="23"/>
          <w:szCs w:val="23"/>
        </w:rPr>
      </w:pPr>
      <w:r w:rsidRPr="00FA5C40">
        <w:rPr>
          <w:rFonts w:ascii="Arial" w:hAnsi="Arial" w:cs="Arial"/>
          <w:b/>
          <w:bCs/>
          <w:color w:val="000000"/>
          <w:sz w:val="23"/>
          <w:szCs w:val="23"/>
          <w:rtl/>
        </w:rPr>
        <w:t>هيئة القضاء الأمني:</w:t>
      </w:r>
    </w:p>
    <w:p w:rsidR="00F33225" w:rsidRPr="00FA5C40" w:rsidRDefault="00F33225" w:rsidP="00F33225">
      <w:pPr>
        <w:pStyle w:val="NormalWeb"/>
        <w:rPr>
          <w:rFonts w:ascii="Arial" w:hAnsi="Arial" w:cs="Arial"/>
          <w:b/>
          <w:bCs/>
          <w:color w:val="000000"/>
          <w:sz w:val="23"/>
          <w:szCs w:val="23"/>
          <w:rtl/>
        </w:rPr>
      </w:pPr>
    </w:p>
    <w:p w:rsidR="00F33225" w:rsidRPr="00FA5C40" w:rsidRDefault="00F33225" w:rsidP="00F33225">
      <w:pPr>
        <w:pStyle w:val="NormalWeb"/>
        <w:bidi/>
        <w:rPr>
          <w:rFonts w:ascii="Arial" w:hAnsi="Arial" w:cs="Arial"/>
          <w:b/>
          <w:bCs/>
          <w:color w:val="000000"/>
          <w:sz w:val="23"/>
          <w:szCs w:val="23"/>
        </w:rPr>
      </w:pPr>
      <w:r w:rsidRPr="00FA5C40">
        <w:rPr>
          <w:rFonts w:ascii="Arial" w:hAnsi="Arial" w:cs="Arial"/>
          <w:b/>
          <w:bCs/>
          <w:color w:val="000000"/>
          <w:sz w:val="23"/>
          <w:szCs w:val="23"/>
          <w:rtl/>
        </w:rPr>
        <w:t>الاسم الوظيفة/الدور</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إسماعيل فرج رئيس هيئة القضاء الأمني</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رائد عموري نائب رئيس الهيئة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بد المصير جرار النائب العام العسكري</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عيسى عمرو رئيس محكمة الاستئناف العسكرية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lastRenderedPageBreak/>
        <w:t>ليلى الخطيب رئيسة وحدة حقوق الإنسان</w:t>
      </w:r>
    </w:p>
    <w:p w:rsidR="00F33225" w:rsidRDefault="00F33225" w:rsidP="00F33225">
      <w:pPr>
        <w:pStyle w:val="NormalWeb"/>
        <w:rPr>
          <w:rFonts w:ascii="Arial" w:hAnsi="Arial" w:cs="Arial"/>
          <w:color w:val="000000"/>
          <w:sz w:val="23"/>
          <w:szCs w:val="23"/>
          <w:rtl/>
        </w:rPr>
      </w:pPr>
    </w:p>
    <w:p w:rsidR="00F33225" w:rsidRPr="001C710A" w:rsidRDefault="00F33225" w:rsidP="00F33225">
      <w:pPr>
        <w:pStyle w:val="NormalWeb"/>
        <w:bidi/>
        <w:rPr>
          <w:rFonts w:ascii="Arial" w:hAnsi="Arial" w:cs="Arial"/>
          <w:b/>
          <w:bCs/>
          <w:color w:val="000000"/>
          <w:sz w:val="23"/>
          <w:szCs w:val="23"/>
        </w:rPr>
      </w:pPr>
      <w:r w:rsidRPr="001C710A">
        <w:rPr>
          <w:rFonts w:ascii="Arial" w:hAnsi="Arial" w:cs="Arial"/>
          <w:b/>
          <w:bCs/>
          <w:color w:val="000000"/>
          <w:sz w:val="23"/>
          <w:szCs w:val="23"/>
          <w:rtl/>
        </w:rPr>
        <w:t>مجلس القضاء الأعلى:</w:t>
      </w:r>
    </w:p>
    <w:p w:rsidR="00F33225" w:rsidRPr="001C710A" w:rsidRDefault="00F33225" w:rsidP="00F33225">
      <w:pPr>
        <w:pStyle w:val="NormalWeb"/>
        <w:rPr>
          <w:rFonts w:ascii="Arial" w:hAnsi="Arial" w:cs="Arial"/>
          <w:b/>
          <w:bCs/>
          <w:color w:val="000000"/>
          <w:sz w:val="23"/>
          <w:szCs w:val="23"/>
          <w:rtl/>
        </w:rPr>
      </w:pPr>
    </w:p>
    <w:p w:rsidR="00F33225" w:rsidRPr="001C710A" w:rsidRDefault="00F33225" w:rsidP="00F33225">
      <w:pPr>
        <w:pStyle w:val="NormalWeb"/>
        <w:bidi/>
        <w:rPr>
          <w:rFonts w:ascii="Arial" w:hAnsi="Arial" w:cs="Arial"/>
          <w:b/>
          <w:bCs/>
          <w:color w:val="000000"/>
          <w:sz w:val="23"/>
          <w:szCs w:val="23"/>
        </w:rPr>
      </w:pPr>
      <w:r w:rsidRPr="001C710A">
        <w:rPr>
          <w:rFonts w:ascii="Arial" w:hAnsi="Arial" w:cs="Arial"/>
          <w:b/>
          <w:bCs/>
          <w:color w:val="000000"/>
          <w:sz w:val="23"/>
          <w:szCs w:val="23"/>
          <w:rtl/>
        </w:rPr>
        <w:t>الاسم الوظيفة/الدور</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عيسى أبو شرار رئيس مجلس القضاء</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أحمد ولد علي الأمين العام</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وسام صبيما رئيس محكمة رام الله</w:t>
      </w:r>
    </w:p>
    <w:p w:rsidR="00F33225" w:rsidRDefault="00F33225" w:rsidP="00F33225">
      <w:pPr>
        <w:pStyle w:val="NormalWeb"/>
        <w:rPr>
          <w:rFonts w:ascii="Arial" w:hAnsi="Arial" w:cs="Arial"/>
          <w:color w:val="000000"/>
          <w:sz w:val="23"/>
          <w:szCs w:val="23"/>
          <w:rtl/>
        </w:rPr>
      </w:pPr>
    </w:p>
    <w:p w:rsidR="00F33225" w:rsidRPr="001C710A" w:rsidRDefault="00F33225" w:rsidP="00F33225">
      <w:pPr>
        <w:pStyle w:val="NormalWeb"/>
        <w:bidi/>
        <w:rPr>
          <w:rFonts w:ascii="Arial" w:hAnsi="Arial" w:cs="Arial"/>
          <w:b/>
          <w:bCs/>
          <w:color w:val="000000"/>
          <w:sz w:val="23"/>
          <w:szCs w:val="23"/>
        </w:rPr>
      </w:pPr>
      <w:r w:rsidRPr="001C710A">
        <w:rPr>
          <w:rFonts w:ascii="Arial" w:hAnsi="Arial" w:cs="Arial"/>
          <w:b/>
          <w:bCs/>
          <w:color w:val="000000"/>
          <w:sz w:val="23"/>
          <w:szCs w:val="23"/>
          <w:rtl/>
        </w:rPr>
        <w:t>لجنة صياغة تشريعات الآلية الوطنية للوقاية:</w:t>
      </w:r>
    </w:p>
    <w:p w:rsidR="00F33225" w:rsidRPr="001C710A" w:rsidRDefault="00F33225" w:rsidP="00F33225">
      <w:pPr>
        <w:pStyle w:val="NormalWeb"/>
        <w:rPr>
          <w:rFonts w:ascii="Arial" w:hAnsi="Arial" w:cs="Arial"/>
          <w:b/>
          <w:bCs/>
          <w:color w:val="000000"/>
          <w:sz w:val="23"/>
          <w:szCs w:val="23"/>
          <w:rtl/>
        </w:rPr>
      </w:pPr>
    </w:p>
    <w:p w:rsidR="00F33225" w:rsidRPr="001C710A" w:rsidRDefault="00F33225" w:rsidP="00F33225">
      <w:pPr>
        <w:pStyle w:val="NormalWeb"/>
        <w:bidi/>
        <w:rPr>
          <w:rFonts w:ascii="Arial" w:hAnsi="Arial" w:cs="Arial"/>
          <w:b/>
          <w:bCs/>
          <w:color w:val="000000"/>
          <w:sz w:val="23"/>
          <w:szCs w:val="23"/>
        </w:rPr>
      </w:pPr>
      <w:r w:rsidRPr="001C710A">
        <w:rPr>
          <w:rFonts w:ascii="Arial" w:hAnsi="Arial" w:cs="Arial"/>
          <w:b/>
          <w:bCs/>
          <w:color w:val="000000"/>
          <w:sz w:val="23"/>
          <w:szCs w:val="23"/>
          <w:rtl/>
        </w:rPr>
        <w:t>الاسم الوظيفة/الدور</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توفيق عمر الاستخبارات العسكرية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محمد شعبان الاستخبارات العسكرية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حمزة جرار الشرطة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ردينة بني عودة الشرطة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صالح البرغوثي الشرطة</w:t>
      </w:r>
    </w:p>
    <w:p w:rsidR="00F33225" w:rsidRPr="00A65F7D" w:rsidRDefault="00F33225" w:rsidP="00F33225">
      <w:pPr>
        <w:pStyle w:val="NormalWeb"/>
        <w:rPr>
          <w:rFonts w:ascii="Arial" w:hAnsi="Arial" w:cs="Arial"/>
          <w:b/>
          <w:bCs/>
          <w:color w:val="000000"/>
          <w:sz w:val="23"/>
          <w:szCs w:val="23"/>
          <w:rtl/>
        </w:rPr>
      </w:pPr>
    </w:p>
    <w:p w:rsidR="00F33225" w:rsidRPr="00A65F7D" w:rsidRDefault="00F33225" w:rsidP="00F33225">
      <w:pPr>
        <w:pStyle w:val="NormalWeb"/>
        <w:bidi/>
        <w:rPr>
          <w:rFonts w:ascii="Arial" w:hAnsi="Arial" w:cs="Arial"/>
          <w:b/>
          <w:bCs/>
          <w:color w:val="000000"/>
          <w:sz w:val="23"/>
          <w:szCs w:val="23"/>
        </w:rPr>
      </w:pPr>
      <w:r w:rsidRPr="00A65F7D">
        <w:rPr>
          <w:rFonts w:ascii="Arial" w:hAnsi="Arial" w:cs="Arial"/>
          <w:b/>
          <w:bCs/>
          <w:color w:val="000000"/>
          <w:sz w:val="23"/>
          <w:szCs w:val="23"/>
          <w:rtl/>
        </w:rPr>
        <w:t>ب. المؤسسة الوطنية لحقوق الإنسان:</w:t>
      </w:r>
    </w:p>
    <w:p w:rsidR="00F33225" w:rsidRDefault="00F33225" w:rsidP="00F33225">
      <w:pPr>
        <w:pStyle w:val="NormalWeb"/>
        <w:rPr>
          <w:rFonts w:ascii="Arial" w:hAnsi="Arial" w:cs="Arial"/>
          <w:color w:val="000000"/>
          <w:sz w:val="23"/>
          <w:szCs w:val="23"/>
          <w:rtl/>
        </w:rPr>
      </w:pPr>
    </w:p>
    <w:p w:rsidR="00F33225" w:rsidRDefault="00F33225" w:rsidP="00F33225">
      <w:pPr>
        <w:pStyle w:val="NormalWeb"/>
        <w:bidi/>
        <w:rPr>
          <w:rFonts w:ascii="Arial" w:hAnsi="Arial" w:cs="Arial"/>
          <w:color w:val="000000"/>
          <w:sz w:val="23"/>
          <w:szCs w:val="23"/>
        </w:rPr>
      </w:pPr>
      <w:r>
        <w:rPr>
          <w:rFonts w:ascii="Arial" w:hAnsi="Arial" w:cs="Arial"/>
          <w:color w:val="000000"/>
          <w:sz w:val="23"/>
          <w:szCs w:val="23"/>
          <w:rtl/>
        </w:rPr>
        <w:t>اللجنة المستقلة لحقوق الإنسان:</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موسى أبو دعيم</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عمار دويك</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علا عداوي</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عمار جموص</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lastRenderedPageBreak/>
        <w:t>• جميل سرحان</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بنجاب الحلو</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باكر تركماني</w:t>
      </w:r>
    </w:p>
    <w:p w:rsidR="00F33225" w:rsidRDefault="00F33225" w:rsidP="00F33225">
      <w:pPr>
        <w:pStyle w:val="NormalWeb"/>
        <w:rPr>
          <w:rFonts w:ascii="Arial" w:hAnsi="Arial" w:cs="Arial"/>
          <w:color w:val="000000"/>
          <w:sz w:val="23"/>
          <w:szCs w:val="23"/>
          <w:rtl/>
        </w:rPr>
      </w:pPr>
    </w:p>
    <w:p w:rsidR="00F33225" w:rsidRPr="001C710A" w:rsidRDefault="00F33225" w:rsidP="00F33225">
      <w:pPr>
        <w:pStyle w:val="NormalWeb"/>
        <w:bidi/>
        <w:rPr>
          <w:rFonts w:ascii="Arial" w:hAnsi="Arial" w:cs="Arial"/>
          <w:b/>
          <w:bCs/>
          <w:color w:val="000000"/>
          <w:sz w:val="23"/>
          <w:szCs w:val="23"/>
        </w:rPr>
      </w:pPr>
      <w:r w:rsidRPr="001C710A">
        <w:rPr>
          <w:rFonts w:ascii="Arial" w:hAnsi="Arial" w:cs="Arial"/>
          <w:b/>
          <w:bCs/>
          <w:color w:val="000000"/>
          <w:sz w:val="23"/>
          <w:szCs w:val="23"/>
          <w:rtl/>
        </w:rPr>
        <w:t>ج. منظمات أخرى</w:t>
      </w:r>
    </w:p>
    <w:p w:rsidR="00F33225" w:rsidRDefault="00F33225" w:rsidP="00F33225">
      <w:pPr>
        <w:pStyle w:val="NormalWeb"/>
        <w:rPr>
          <w:rFonts w:ascii="Arial" w:hAnsi="Arial" w:cs="Arial"/>
          <w:color w:val="000000"/>
          <w:sz w:val="23"/>
          <w:szCs w:val="23"/>
          <w:rtl/>
        </w:rPr>
      </w:pPr>
    </w:p>
    <w:p w:rsidR="00F33225" w:rsidRDefault="00F33225" w:rsidP="00F33225">
      <w:pPr>
        <w:pStyle w:val="NormalWeb"/>
        <w:bidi/>
        <w:rPr>
          <w:rFonts w:ascii="Arial" w:hAnsi="Arial" w:cs="Arial"/>
          <w:color w:val="000000"/>
          <w:sz w:val="23"/>
          <w:szCs w:val="23"/>
        </w:rPr>
      </w:pPr>
      <w:r>
        <w:rPr>
          <w:rFonts w:ascii="Arial" w:hAnsi="Arial" w:cs="Arial"/>
          <w:color w:val="000000"/>
          <w:sz w:val="23"/>
          <w:szCs w:val="23"/>
          <w:rtl/>
        </w:rPr>
        <w:t>نقابة المحامين:</w:t>
      </w:r>
    </w:p>
    <w:p w:rsidR="00F33225" w:rsidRDefault="00F33225" w:rsidP="00F33225">
      <w:pPr>
        <w:pStyle w:val="NormalWeb"/>
        <w:rPr>
          <w:rFonts w:ascii="Arial" w:hAnsi="Arial" w:cs="Arial"/>
          <w:color w:val="000000"/>
          <w:sz w:val="23"/>
          <w:szCs w:val="23"/>
          <w:rtl/>
        </w:rPr>
      </w:pPr>
    </w:p>
    <w:p w:rsidR="00F33225" w:rsidRDefault="00F33225" w:rsidP="00F33225">
      <w:pPr>
        <w:pStyle w:val="NormalWeb"/>
        <w:bidi/>
        <w:rPr>
          <w:rFonts w:ascii="Arial" w:hAnsi="Arial" w:cs="Arial"/>
          <w:color w:val="000000"/>
          <w:sz w:val="23"/>
          <w:szCs w:val="23"/>
        </w:rPr>
      </w:pPr>
      <w:r>
        <w:rPr>
          <w:rFonts w:ascii="Arial" w:hAnsi="Arial" w:cs="Arial"/>
          <w:color w:val="000000"/>
          <w:sz w:val="23"/>
          <w:szCs w:val="23"/>
          <w:rtl/>
        </w:rPr>
        <w:t>الاسم الوظيفة/الدور</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سهيل عاشم الرئيس</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مي عطا الله رئيسة العلاقات العامة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رياض عاصي مسؤول الإعلام</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أمجد شله عضو مجلس النقابة</w:t>
      </w:r>
    </w:p>
    <w:p w:rsidR="00F33225" w:rsidRDefault="00F33225" w:rsidP="00F33225">
      <w:pPr>
        <w:pStyle w:val="NormalWeb"/>
        <w:rPr>
          <w:rFonts w:ascii="Arial" w:hAnsi="Arial" w:cs="Arial"/>
          <w:color w:val="000000"/>
          <w:sz w:val="23"/>
          <w:szCs w:val="23"/>
          <w:rtl/>
        </w:rPr>
      </w:pPr>
    </w:p>
    <w:p w:rsidR="00F33225" w:rsidRDefault="00F33225" w:rsidP="00F00DB3">
      <w:pPr>
        <w:pStyle w:val="NormalWeb"/>
        <w:bidi/>
        <w:rPr>
          <w:rFonts w:ascii="Arial" w:hAnsi="Arial" w:cs="Arial"/>
          <w:color w:val="000000"/>
          <w:sz w:val="23"/>
          <w:szCs w:val="23"/>
          <w:rtl/>
        </w:rPr>
      </w:pPr>
      <w:r w:rsidRPr="001C710A">
        <w:rPr>
          <w:rFonts w:ascii="Arial" w:hAnsi="Arial" w:cs="Arial"/>
          <w:b/>
          <w:bCs/>
          <w:color w:val="000000"/>
          <w:sz w:val="23"/>
          <w:szCs w:val="23"/>
          <w:rtl/>
        </w:rPr>
        <w:t>المنظمات غير الحكومية</w:t>
      </w:r>
      <w:r>
        <w:rPr>
          <w:rFonts w:ascii="Arial" w:hAnsi="Arial" w:cs="Arial"/>
          <w:color w:val="000000"/>
          <w:sz w:val="23"/>
          <w:szCs w:val="23"/>
          <w:rtl/>
        </w:rPr>
        <w:t>:</w:t>
      </w:r>
    </w:p>
    <w:p w:rsidR="00F33225" w:rsidRDefault="00F33225" w:rsidP="00F33225">
      <w:pPr>
        <w:pStyle w:val="NormalWeb"/>
        <w:bidi/>
        <w:rPr>
          <w:rFonts w:ascii="Arial" w:hAnsi="Arial" w:cs="Arial"/>
          <w:color w:val="000000"/>
          <w:sz w:val="23"/>
          <w:szCs w:val="23"/>
        </w:rPr>
      </w:pPr>
      <w:r>
        <w:rPr>
          <w:rFonts w:ascii="Arial" w:hAnsi="Arial" w:cs="Arial"/>
          <w:color w:val="000000"/>
          <w:sz w:val="23"/>
          <w:szCs w:val="23"/>
          <w:rtl/>
        </w:rPr>
        <w:t>• مركز الدفاع عن الحريات وحقوق الإنسان (حريات) - الضفة الغربية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مؤسسة الضمير لدعم حقوق الإنسان - الضفة الغربية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مؤسسة الحق - الضفة الغربية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المساعدة القانونية في القدس (</w:t>
      </w:r>
      <w:r>
        <w:rPr>
          <w:rFonts w:ascii="Arial" w:hAnsi="Arial" w:cs="Arial"/>
          <w:color w:val="000000"/>
          <w:sz w:val="23"/>
          <w:szCs w:val="23"/>
        </w:rPr>
        <w:t>JLAC</w:t>
      </w:r>
      <w:r>
        <w:rPr>
          <w:rFonts w:ascii="Arial" w:hAnsi="Arial" w:cs="Arial"/>
          <w:color w:val="000000"/>
          <w:sz w:val="23"/>
          <w:szCs w:val="23"/>
          <w:rtl/>
        </w:rPr>
        <w:t>)</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الدفاع عن الأطفال الدولية (</w:t>
      </w:r>
      <w:r>
        <w:rPr>
          <w:rFonts w:ascii="Arial" w:hAnsi="Arial" w:cs="Arial"/>
          <w:color w:val="000000"/>
          <w:sz w:val="23"/>
          <w:szCs w:val="23"/>
        </w:rPr>
        <w:t>DCI</w:t>
      </w:r>
      <w:r>
        <w:rPr>
          <w:rFonts w:ascii="Arial" w:hAnsi="Arial" w:cs="Arial"/>
          <w:color w:val="000000"/>
          <w:sz w:val="23"/>
          <w:szCs w:val="23"/>
          <w:rtl/>
        </w:rPr>
        <w:t>) - الضفة الغربية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الإعلام لحقوق الإنسان والديمقراطية (شمس) - الضفة الغربية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جمعية المرأة العاملة الفلسطينية (</w:t>
      </w:r>
      <w:r>
        <w:rPr>
          <w:rFonts w:ascii="Arial" w:hAnsi="Arial" w:cs="Arial"/>
          <w:color w:val="000000"/>
          <w:sz w:val="23"/>
          <w:szCs w:val="23"/>
        </w:rPr>
        <w:t>PWWSD</w:t>
      </w:r>
      <w:r>
        <w:rPr>
          <w:rFonts w:ascii="Arial" w:hAnsi="Arial" w:cs="Arial"/>
          <w:color w:val="000000"/>
          <w:sz w:val="23"/>
          <w:szCs w:val="23"/>
          <w:rtl/>
        </w:rPr>
        <w:t>) - الضفة الغربية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العلاج وإعادة التأهيل لضحايا التعذيب (</w:t>
      </w:r>
      <w:r>
        <w:rPr>
          <w:rFonts w:ascii="Arial" w:hAnsi="Arial" w:cs="Arial"/>
          <w:color w:val="000000"/>
          <w:sz w:val="23"/>
          <w:szCs w:val="23"/>
        </w:rPr>
        <w:t>TRC</w:t>
      </w:r>
      <w:r>
        <w:rPr>
          <w:rFonts w:ascii="Arial" w:hAnsi="Arial" w:cs="Arial"/>
          <w:color w:val="000000"/>
          <w:sz w:val="23"/>
          <w:szCs w:val="23"/>
          <w:rtl/>
        </w:rPr>
        <w:t>) - الضفة الغربية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جمعية عائشة لحماية المرأة والطفل - غزة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المركز الفلسطيني لحقوق الإنسان (</w:t>
      </w:r>
      <w:r>
        <w:rPr>
          <w:rFonts w:ascii="Arial" w:hAnsi="Arial" w:cs="Arial"/>
          <w:color w:val="000000"/>
          <w:sz w:val="23"/>
          <w:szCs w:val="23"/>
        </w:rPr>
        <w:t>PCHR</w:t>
      </w:r>
      <w:r>
        <w:rPr>
          <w:rFonts w:ascii="Arial" w:hAnsi="Arial" w:cs="Arial"/>
          <w:color w:val="000000"/>
          <w:sz w:val="23"/>
          <w:szCs w:val="23"/>
          <w:rtl/>
        </w:rPr>
        <w:t>) - غزة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lastRenderedPageBreak/>
        <w:t>• المركز الفلسطيني للديمقراطية وحل النزاعات (</w:t>
      </w:r>
      <w:r>
        <w:rPr>
          <w:rFonts w:ascii="Arial" w:hAnsi="Arial" w:cs="Arial"/>
          <w:color w:val="000000"/>
          <w:sz w:val="23"/>
          <w:szCs w:val="23"/>
        </w:rPr>
        <w:t>PCDCR</w:t>
      </w:r>
      <w:r>
        <w:rPr>
          <w:rFonts w:ascii="Arial" w:hAnsi="Arial" w:cs="Arial"/>
          <w:color w:val="000000"/>
          <w:sz w:val="23"/>
          <w:szCs w:val="23"/>
          <w:rtl/>
        </w:rPr>
        <w:t>) - غزة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تير دي زوم - غزة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جمعية الضمير للديمقراطية وحقوق الإنسان - غزة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برنامج غزة للصحة النفسية - غزة</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مركز الميزان لحقوق الإنسان</w:t>
      </w:r>
    </w:p>
    <w:p w:rsidR="00F33225" w:rsidRDefault="00F33225" w:rsidP="00F33225">
      <w:pPr>
        <w:pStyle w:val="NormalWeb"/>
        <w:bidi/>
        <w:rPr>
          <w:rFonts w:ascii="Arial" w:hAnsi="Arial" w:cs="Arial"/>
          <w:color w:val="000000"/>
          <w:sz w:val="23"/>
          <w:szCs w:val="23"/>
          <w:rtl/>
        </w:rPr>
      </w:pPr>
      <w:r>
        <w:rPr>
          <w:rFonts w:ascii="Arial" w:hAnsi="Arial" w:cs="Arial"/>
          <w:color w:val="000000"/>
          <w:sz w:val="23"/>
          <w:szCs w:val="23"/>
          <w:rtl/>
        </w:rPr>
        <w:t>• الباحث القانوني ومسؤول المناصرة (الحق، رام الله)</w:t>
      </w:r>
    </w:p>
    <w:p w:rsidR="00E167CF" w:rsidRPr="006E1CD2" w:rsidRDefault="00E167CF" w:rsidP="00B433AB">
      <w:pPr>
        <w:bidi/>
        <w:jc w:val="both"/>
        <w:rPr>
          <w:rFonts w:asciiTheme="minorBidi" w:hAnsiTheme="minorBidi" w:cstheme="minorBidi"/>
          <w:sz w:val="28"/>
          <w:szCs w:val="28"/>
          <w:rtl/>
        </w:rPr>
      </w:pPr>
    </w:p>
    <w:sectPr w:rsidR="00E167CF" w:rsidRPr="006E1CD2" w:rsidSect="000C7D64">
      <w:headerReference w:type="default" r:id="rId8"/>
      <w:pgSz w:w="11907" w:h="16839" w:code="9"/>
      <w:pgMar w:top="1993" w:right="1800" w:bottom="540" w:left="1440" w:header="36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B8D" w:rsidRDefault="00CE3B8D" w:rsidP="0036505E">
      <w:pPr>
        <w:spacing w:after="0" w:line="240" w:lineRule="auto"/>
      </w:pPr>
      <w:r>
        <w:separator/>
      </w:r>
    </w:p>
  </w:endnote>
  <w:endnote w:type="continuationSeparator" w:id="0">
    <w:p w:rsidR="00CE3B8D" w:rsidRDefault="00CE3B8D" w:rsidP="00365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B8D" w:rsidRDefault="00CE3B8D" w:rsidP="0036505E">
      <w:pPr>
        <w:spacing w:after="0" w:line="240" w:lineRule="auto"/>
      </w:pPr>
      <w:r>
        <w:separator/>
      </w:r>
    </w:p>
  </w:footnote>
  <w:footnote w:type="continuationSeparator" w:id="0">
    <w:p w:rsidR="00CE3B8D" w:rsidRDefault="00CE3B8D" w:rsidP="003650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D47" w:rsidRDefault="000C6D47" w:rsidP="000C6D47">
    <w:pPr>
      <w:pStyle w:val="Header"/>
      <w:pBdr>
        <w:bottom w:val="single" w:sz="12" w:space="1" w:color="auto"/>
      </w:pBdr>
      <w:tabs>
        <w:tab w:val="center" w:pos="4153"/>
        <w:tab w:val="left" w:pos="6201"/>
      </w:tabs>
      <w:bidi/>
      <w:ind w:left="-513" w:right="-630"/>
      <w:jc w:val="center"/>
    </w:pPr>
    <w:r>
      <w:rPr>
        <w:rFonts w:hint="cs"/>
        <w:rtl/>
      </w:rPr>
      <w:t>بسم الله الرحمن الرحيم</w:t>
    </w:r>
  </w:p>
  <w:p w:rsidR="0036505E" w:rsidRDefault="00155CDF" w:rsidP="000C6D47">
    <w:pPr>
      <w:pStyle w:val="Header"/>
      <w:pBdr>
        <w:bottom w:val="single" w:sz="12" w:space="1" w:color="auto"/>
      </w:pBdr>
      <w:tabs>
        <w:tab w:val="center" w:pos="4153"/>
        <w:tab w:val="left" w:pos="6201"/>
      </w:tabs>
      <w:bidi/>
      <w:ind w:left="-513" w:right="-630"/>
      <w:jc w:val="center"/>
    </w:pPr>
    <w:r>
      <w:rPr>
        <w:noProof/>
      </w:rPr>
      <mc:AlternateContent>
        <mc:Choice Requires="wps">
          <w:drawing>
            <wp:anchor distT="0" distB="0" distL="114300" distR="114300" simplePos="0" relativeHeight="251658240" behindDoc="0" locked="0" layoutInCell="1" allowOverlap="1">
              <wp:simplePos x="0" y="0"/>
              <wp:positionH relativeFrom="column">
                <wp:posOffset>-644525</wp:posOffset>
              </wp:positionH>
              <wp:positionV relativeFrom="paragraph">
                <wp:posOffset>176530</wp:posOffset>
              </wp:positionV>
              <wp:extent cx="2421890" cy="77787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1890" cy="777875"/>
                      </a:xfrm>
                      <a:prstGeom prst="rect">
                        <a:avLst/>
                      </a:prstGeom>
                      <a:solidFill>
                        <a:srgbClr val="FFFFFF"/>
                      </a:solidFill>
                      <a:ln w="9525">
                        <a:noFill/>
                        <a:miter lim="800000"/>
                        <a:headEnd/>
                        <a:tailEnd/>
                      </a:ln>
                    </wps:spPr>
                    <wps:txbx>
                      <w:txbxContent>
                        <w:p w:rsidR="0036505E" w:rsidRPr="00925471" w:rsidRDefault="0036505E" w:rsidP="00CB7CAF">
                          <w:pPr>
                            <w:bidi/>
                            <w:jc w:val="center"/>
                            <w:rPr>
                              <w:rFonts w:ascii="Times New Roman" w:hAnsi="Times New Roman" w:cs="Times New Roman"/>
                              <w:b/>
                              <w:bCs/>
                              <w:sz w:val="32"/>
                              <w:szCs w:val="32"/>
                              <w:rtl/>
                            </w:rPr>
                          </w:pPr>
                          <w:r w:rsidRPr="00925471">
                            <w:rPr>
                              <w:rFonts w:ascii="Times New Roman" w:hAnsi="Times New Roman" w:cs="Times New Roman"/>
                              <w:b/>
                              <w:bCs/>
                              <w:sz w:val="32"/>
                              <w:szCs w:val="32"/>
                            </w:rPr>
                            <w:t xml:space="preserve">State </w:t>
                          </w:r>
                          <w:r w:rsidR="00CB7CAF">
                            <w:rPr>
                              <w:rFonts w:ascii="Times New Roman" w:hAnsi="Times New Roman" w:cs="Times New Roman"/>
                              <w:b/>
                              <w:bCs/>
                              <w:sz w:val="32"/>
                              <w:szCs w:val="32"/>
                            </w:rPr>
                            <w:t>o</w:t>
                          </w:r>
                          <w:r w:rsidRPr="00925471">
                            <w:rPr>
                              <w:rFonts w:ascii="Times New Roman" w:hAnsi="Times New Roman" w:cs="Times New Roman"/>
                              <w:b/>
                              <w:bCs/>
                              <w:sz w:val="32"/>
                              <w:szCs w:val="32"/>
                            </w:rPr>
                            <w:t xml:space="preserve">f </w:t>
                          </w:r>
                          <w:smartTag w:uri="urn:schemas-microsoft-com:office:smarttags" w:element="City">
                            <w:smartTag w:uri="urn:schemas-microsoft-com:office:smarttags" w:element="place">
                              <w:r w:rsidRPr="00925471">
                                <w:rPr>
                                  <w:rFonts w:ascii="Times New Roman" w:hAnsi="Times New Roman" w:cs="Times New Roman"/>
                                  <w:b/>
                                  <w:bCs/>
                                  <w:sz w:val="32"/>
                                  <w:szCs w:val="32"/>
                                </w:rPr>
                                <w:t>Palestine</w:t>
                              </w:r>
                            </w:smartTag>
                          </w:smartTag>
                        </w:p>
                        <w:p w:rsidR="0036505E" w:rsidRPr="00925471" w:rsidRDefault="0036505E" w:rsidP="00CB7CAF">
                          <w:pPr>
                            <w:bidi/>
                            <w:jc w:val="center"/>
                            <w:rPr>
                              <w:rFonts w:ascii="Times New Roman" w:hAnsi="Times New Roman" w:cs="Times New Roman"/>
                              <w:b/>
                              <w:bCs/>
                              <w:sz w:val="32"/>
                              <w:szCs w:val="32"/>
                              <w:rtl/>
                            </w:rPr>
                          </w:pPr>
                          <w:r w:rsidRPr="00925471">
                            <w:rPr>
                              <w:rFonts w:ascii="Times New Roman" w:hAnsi="Times New Roman" w:cs="Times New Roman"/>
                              <w:b/>
                              <w:bCs/>
                              <w:sz w:val="32"/>
                              <w:szCs w:val="32"/>
                            </w:rPr>
                            <w:t xml:space="preserve">Ministry </w:t>
                          </w:r>
                          <w:r w:rsidR="00CB7CAF">
                            <w:rPr>
                              <w:rFonts w:ascii="Times New Roman" w:hAnsi="Times New Roman" w:cs="Times New Roman"/>
                              <w:b/>
                              <w:bCs/>
                              <w:sz w:val="32"/>
                              <w:szCs w:val="32"/>
                            </w:rPr>
                            <w:t>o</w:t>
                          </w:r>
                          <w:r w:rsidRPr="00925471">
                            <w:rPr>
                              <w:rFonts w:ascii="Times New Roman" w:hAnsi="Times New Roman" w:cs="Times New Roman"/>
                              <w:b/>
                              <w:bCs/>
                              <w:sz w:val="32"/>
                              <w:szCs w:val="32"/>
                            </w:rPr>
                            <w:t>f Interior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0.75pt;margin-top:13.9pt;width:190.7pt;height:6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" stroked="f">
              <v:textbox>
                <w:txbxContent>
                  <w:p w:rsidR="0036505E" w:rsidRPr="00925471" w:rsidRDefault="0036505E" w:rsidP="00CB7CAF">
                    <w:pPr>
                      <w:bidi/>
                      <w:jc w:val="center"/>
                      <w:rPr>
                        <w:rFonts w:ascii="Times New Roman" w:hAnsi="Times New Roman" w:cs="Times New Roman"/>
                        <w:b/>
                        <w:bCs/>
                        <w:sz w:val="32"/>
                        <w:szCs w:val="32"/>
                        <w:rtl/>
                      </w:rPr>
                    </w:pPr>
                    <w:r w:rsidRPr="00925471">
                      <w:rPr>
                        <w:rFonts w:ascii="Times New Roman" w:hAnsi="Times New Roman" w:cs="Times New Roman"/>
                        <w:b/>
                        <w:bCs/>
                        <w:sz w:val="32"/>
                        <w:szCs w:val="32"/>
                      </w:rPr>
                      <w:t xml:space="preserve">State </w:t>
                    </w:r>
                    <w:r w:rsidR="00CB7CAF">
                      <w:rPr>
                        <w:rFonts w:ascii="Times New Roman" w:hAnsi="Times New Roman" w:cs="Times New Roman"/>
                        <w:b/>
                        <w:bCs/>
                        <w:sz w:val="32"/>
                        <w:szCs w:val="32"/>
                      </w:rPr>
                      <w:t>o</w:t>
                    </w:r>
                    <w:r w:rsidRPr="00925471">
                      <w:rPr>
                        <w:rFonts w:ascii="Times New Roman" w:hAnsi="Times New Roman" w:cs="Times New Roman"/>
                        <w:b/>
                        <w:bCs/>
                        <w:sz w:val="32"/>
                        <w:szCs w:val="32"/>
                      </w:rPr>
                      <w:t xml:space="preserve">f </w:t>
                    </w:r>
                    <w:smartTag w:uri="urn:schemas-microsoft-com:office:smarttags" w:element="City">
                      <w:smartTag w:uri="urn:schemas-microsoft-com:office:smarttags" w:element="place">
                        <w:r w:rsidRPr="00925471">
                          <w:rPr>
                            <w:rFonts w:ascii="Times New Roman" w:hAnsi="Times New Roman" w:cs="Times New Roman"/>
                            <w:b/>
                            <w:bCs/>
                            <w:sz w:val="32"/>
                            <w:szCs w:val="32"/>
                          </w:rPr>
                          <w:t>Palestine</w:t>
                        </w:r>
                      </w:smartTag>
                    </w:smartTag>
                  </w:p>
                  <w:p w:rsidR="0036505E" w:rsidRPr="00925471" w:rsidRDefault="0036505E" w:rsidP="00CB7CAF">
                    <w:pPr>
                      <w:bidi/>
                      <w:jc w:val="center"/>
                      <w:rPr>
                        <w:rFonts w:ascii="Times New Roman" w:hAnsi="Times New Roman" w:cs="Times New Roman"/>
                        <w:b/>
                        <w:bCs/>
                        <w:sz w:val="32"/>
                        <w:szCs w:val="32"/>
                        <w:rtl/>
                      </w:rPr>
                    </w:pPr>
                    <w:r w:rsidRPr="00925471">
                      <w:rPr>
                        <w:rFonts w:ascii="Times New Roman" w:hAnsi="Times New Roman" w:cs="Times New Roman"/>
                        <w:b/>
                        <w:bCs/>
                        <w:sz w:val="32"/>
                        <w:szCs w:val="32"/>
                      </w:rPr>
                      <w:t xml:space="preserve">Ministry </w:t>
                    </w:r>
                    <w:r w:rsidR="00CB7CAF">
                      <w:rPr>
                        <w:rFonts w:ascii="Times New Roman" w:hAnsi="Times New Roman" w:cs="Times New Roman"/>
                        <w:b/>
                        <w:bCs/>
                        <w:sz w:val="32"/>
                        <w:szCs w:val="32"/>
                      </w:rPr>
                      <w:t>o</w:t>
                    </w:r>
                    <w:r w:rsidRPr="00925471">
                      <w:rPr>
                        <w:rFonts w:ascii="Times New Roman" w:hAnsi="Times New Roman" w:cs="Times New Roman"/>
                        <w:b/>
                        <w:bCs/>
                        <w:sz w:val="32"/>
                        <w:szCs w:val="32"/>
                      </w:rPr>
                      <w:t>f Interior</w:t>
                    </w:r>
                  </w:p>
                </w:txbxContent>
              </v:textbox>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3667760</wp:posOffset>
              </wp:positionH>
              <wp:positionV relativeFrom="paragraph">
                <wp:posOffset>183515</wp:posOffset>
              </wp:positionV>
              <wp:extent cx="2272030" cy="8934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030" cy="893445"/>
                      </a:xfrm>
                      <a:prstGeom prst="rect">
                        <a:avLst/>
                      </a:prstGeom>
                      <a:solidFill>
                        <a:srgbClr val="FFFFFF"/>
                      </a:solidFill>
                      <a:ln w="9525">
                        <a:noFill/>
                        <a:miter lim="800000"/>
                        <a:headEnd/>
                        <a:tailEnd/>
                      </a:ln>
                    </wps:spPr>
                    <wps:txbx>
                      <w:txbxContent>
                        <w:p w:rsidR="0036505E" w:rsidRPr="00925471" w:rsidRDefault="0036505E" w:rsidP="0036505E">
                          <w:pPr>
                            <w:bidi/>
                            <w:jc w:val="center"/>
                            <w:rPr>
                              <w:rFonts w:ascii="Times New Roman" w:hAnsi="Times New Roman" w:cs="Times New Roman"/>
                              <w:b/>
                              <w:bCs/>
                              <w:sz w:val="44"/>
                              <w:szCs w:val="44"/>
                              <w:rtl/>
                            </w:rPr>
                          </w:pPr>
                          <w:r w:rsidRPr="00925471">
                            <w:rPr>
                              <w:rFonts w:ascii="Times New Roman" w:hAnsi="Times New Roman" w:cs="Times New Roman"/>
                              <w:b/>
                              <w:bCs/>
                              <w:sz w:val="44"/>
                              <w:szCs w:val="44"/>
                              <w:rtl/>
                            </w:rPr>
                            <w:t>دولة فلسطين</w:t>
                          </w:r>
                        </w:p>
                        <w:p w:rsidR="0036505E" w:rsidRPr="00925471" w:rsidRDefault="0036505E" w:rsidP="0036505E">
                          <w:pPr>
                            <w:bidi/>
                            <w:jc w:val="center"/>
                            <w:rPr>
                              <w:rFonts w:ascii="Times New Roman" w:hAnsi="Times New Roman" w:cs="Times New Roman"/>
                              <w:b/>
                              <w:bCs/>
                              <w:sz w:val="32"/>
                              <w:szCs w:val="32"/>
                              <w:rtl/>
                            </w:rPr>
                          </w:pPr>
                          <w:r w:rsidRPr="00925471">
                            <w:rPr>
                              <w:rFonts w:ascii="Times New Roman" w:hAnsi="Times New Roman" w:cs="Times New Roman"/>
                              <w:b/>
                              <w:bCs/>
                              <w:sz w:val="32"/>
                              <w:szCs w:val="32"/>
                              <w:rtl/>
                            </w:rPr>
                            <w:t>وزارة الداخ</w:t>
                          </w:r>
                          <w:r w:rsidRPr="00925471">
                            <w:rPr>
                              <w:rFonts w:ascii="Times New Roman" w:hAnsi="Times New Roman" w:cs="Times New Roman" w:hint="cs"/>
                              <w:b/>
                              <w:bCs/>
                              <w:sz w:val="32"/>
                              <w:szCs w:val="32"/>
                              <w:rtl/>
                            </w:rPr>
                            <w:t>ــ</w:t>
                          </w:r>
                          <w:r w:rsidRPr="00925471">
                            <w:rPr>
                              <w:rFonts w:ascii="Times New Roman" w:hAnsi="Times New Roman" w:cs="Times New Roman"/>
                              <w:b/>
                              <w:bCs/>
                              <w:sz w:val="32"/>
                              <w:szCs w:val="32"/>
                              <w:rtl/>
                            </w:rPr>
                            <w:t>لية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88.8pt;margin-top:14.45pt;width:178.9pt;height:70.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" stroked="f">
              <v:textbox>
                <w:txbxContent>
                  <w:p w:rsidR="0036505E" w:rsidRPr="00925471" w:rsidRDefault="0036505E" w:rsidP="0036505E">
                    <w:pPr>
                      <w:bidi/>
                      <w:jc w:val="center"/>
                      <w:rPr>
                        <w:rFonts w:ascii="Times New Roman" w:hAnsi="Times New Roman" w:cs="Times New Roman"/>
                        <w:b/>
                        <w:bCs/>
                        <w:sz w:val="44"/>
                        <w:szCs w:val="44"/>
                        <w:rtl/>
                      </w:rPr>
                    </w:pPr>
                    <w:r w:rsidRPr="00925471">
                      <w:rPr>
                        <w:rFonts w:ascii="Times New Roman" w:hAnsi="Times New Roman" w:cs="Times New Roman"/>
                        <w:b/>
                        <w:bCs/>
                        <w:sz w:val="44"/>
                        <w:szCs w:val="44"/>
                        <w:rtl/>
                      </w:rPr>
                      <w:t>دولة فلسطين</w:t>
                    </w:r>
                  </w:p>
                  <w:p w:rsidR="0036505E" w:rsidRPr="00925471" w:rsidRDefault="0036505E" w:rsidP="0036505E">
                    <w:pPr>
                      <w:bidi/>
                      <w:jc w:val="center"/>
                      <w:rPr>
                        <w:rFonts w:ascii="Times New Roman" w:hAnsi="Times New Roman" w:cs="Times New Roman"/>
                        <w:b/>
                        <w:bCs/>
                        <w:sz w:val="32"/>
                        <w:szCs w:val="32"/>
                        <w:rtl/>
                      </w:rPr>
                    </w:pPr>
                    <w:r w:rsidRPr="00925471">
                      <w:rPr>
                        <w:rFonts w:ascii="Times New Roman" w:hAnsi="Times New Roman" w:cs="Times New Roman"/>
                        <w:b/>
                        <w:bCs/>
                        <w:sz w:val="32"/>
                        <w:szCs w:val="32"/>
                        <w:rtl/>
                      </w:rPr>
                      <w:t>وزارة الداخ</w:t>
                    </w:r>
                    <w:r w:rsidRPr="00925471">
                      <w:rPr>
                        <w:rFonts w:ascii="Times New Roman" w:hAnsi="Times New Roman" w:cs="Times New Roman" w:hint="cs"/>
                        <w:b/>
                        <w:bCs/>
                        <w:sz w:val="32"/>
                        <w:szCs w:val="32"/>
                        <w:rtl/>
                      </w:rPr>
                      <w:t>ــ</w:t>
                    </w:r>
                    <w:r w:rsidRPr="00925471">
                      <w:rPr>
                        <w:rFonts w:ascii="Times New Roman" w:hAnsi="Times New Roman" w:cs="Times New Roman"/>
                        <w:b/>
                        <w:bCs/>
                        <w:sz w:val="32"/>
                        <w:szCs w:val="32"/>
                        <w:rtl/>
                      </w:rPr>
                      <w:t>لية</w:t>
                    </w:r>
                  </w:p>
                </w:txbxContent>
              </v:textbox>
            </v:shape>
          </w:pict>
        </mc:Fallback>
      </mc:AlternateContent>
    </w:r>
    <w:r w:rsidR="004E3092">
      <w:rPr>
        <w:noProof/>
      </w:rPr>
      <w:drawing>
        <wp:inline distT="0" distB="0" distL="0" distR="0">
          <wp:extent cx="793750" cy="1075055"/>
          <wp:effectExtent l="19050" t="0" r="635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793750" cy="1075055"/>
                  </a:xfrm>
                  <a:prstGeom prst="rect">
                    <a:avLst/>
                  </a:prstGeom>
                  <a:noFill/>
                  <a:ln w="9525">
                    <a:noFill/>
                    <a:miter lim="800000"/>
                    <a:headEnd/>
                    <a:tailEnd/>
                  </a:ln>
                </pic:spPr>
              </pic:pic>
            </a:graphicData>
          </a:graphic>
        </wp:inline>
      </w:drawing>
    </w:r>
  </w:p>
  <w:p w:rsidR="0036505E" w:rsidRDefault="0036505E" w:rsidP="0036505E">
    <w:pPr>
      <w:pStyle w:val="Header"/>
      <w:bid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89CC746"/>
    <w:lvl w:ilvl="0">
      <w:start w:val="1"/>
      <w:numFmt w:val="decimal"/>
      <w:lvlText w:val="%1."/>
      <w:lvlJc w:val="left"/>
      <w:pPr>
        <w:tabs>
          <w:tab w:val="num" w:pos="1800"/>
        </w:tabs>
        <w:ind w:left="1800" w:hanging="360"/>
      </w:pPr>
    </w:lvl>
  </w:abstractNum>
  <w:abstractNum w:abstractNumId="1">
    <w:nsid w:val="FFFFFF7D"/>
    <w:multiLevelType w:val="singleLevel"/>
    <w:tmpl w:val="EC842498"/>
    <w:lvl w:ilvl="0">
      <w:start w:val="1"/>
      <w:numFmt w:val="decimal"/>
      <w:lvlText w:val="%1."/>
      <w:lvlJc w:val="left"/>
      <w:pPr>
        <w:tabs>
          <w:tab w:val="num" w:pos="1440"/>
        </w:tabs>
        <w:ind w:left="1440" w:hanging="360"/>
      </w:pPr>
    </w:lvl>
  </w:abstractNum>
  <w:abstractNum w:abstractNumId="2">
    <w:nsid w:val="FFFFFF7E"/>
    <w:multiLevelType w:val="singleLevel"/>
    <w:tmpl w:val="80524080"/>
    <w:lvl w:ilvl="0">
      <w:start w:val="1"/>
      <w:numFmt w:val="decimal"/>
      <w:lvlText w:val="%1."/>
      <w:lvlJc w:val="left"/>
      <w:pPr>
        <w:tabs>
          <w:tab w:val="num" w:pos="1080"/>
        </w:tabs>
        <w:ind w:left="1080" w:hanging="360"/>
      </w:pPr>
    </w:lvl>
  </w:abstractNum>
  <w:abstractNum w:abstractNumId="3">
    <w:nsid w:val="FFFFFF7F"/>
    <w:multiLevelType w:val="singleLevel"/>
    <w:tmpl w:val="974A9DA6"/>
    <w:lvl w:ilvl="0">
      <w:start w:val="1"/>
      <w:numFmt w:val="decimal"/>
      <w:lvlText w:val="%1."/>
      <w:lvlJc w:val="left"/>
      <w:pPr>
        <w:tabs>
          <w:tab w:val="num" w:pos="720"/>
        </w:tabs>
        <w:ind w:left="720" w:hanging="360"/>
      </w:pPr>
    </w:lvl>
  </w:abstractNum>
  <w:abstractNum w:abstractNumId="4">
    <w:nsid w:val="FFFFFF80"/>
    <w:multiLevelType w:val="singleLevel"/>
    <w:tmpl w:val="11AAEA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7F6B67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8E23F7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CF017D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1341568"/>
    <w:lvl w:ilvl="0">
      <w:start w:val="1"/>
      <w:numFmt w:val="decimal"/>
      <w:lvlText w:val="%1."/>
      <w:lvlJc w:val="left"/>
      <w:pPr>
        <w:tabs>
          <w:tab w:val="num" w:pos="360"/>
        </w:tabs>
        <w:ind w:left="360" w:hanging="360"/>
      </w:pPr>
    </w:lvl>
  </w:abstractNum>
  <w:abstractNum w:abstractNumId="9">
    <w:nsid w:val="FFFFFF89"/>
    <w:multiLevelType w:val="singleLevel"/>
    <w:tmpl w:val="7BEC9100"/>
    <w:lvl w:ilvl="0">
      <w:start w:val="1"/>
      <w:numFmt w:val="bullet"/>
      <w:lvlText w:val=""/>
      <w:lvlJc w:val="left"/>
      <w:pPr>
        <w:tabs>
          <w:tab w:val="num" w:pos="360"/>
        </w:tabs>
        <w:ind w:left="360" w:hanging="360"/>
      </w:pPr>
      <w:rPr>
        <w:rFonts w:ascii="Symbol" w:hAnsi="Symbol" w:hint="default"/>
      </w:rPr>
    </w:lvl>
  </w:abstractNum>
  <w:abstractNum w:abstractNumId="10">
    <w:nsid w:val="02CA1EB0"/>
    <w:multiLevelType w:val="hybridMultilevel"/>
    <w:tmpl w:val="82E88A14"/>
    <w:lvl w:ilvl="0" w:tplc="B94C06EA">
      <w:start w:val="1"/>
      <w:numFmt w:val="decimal"/>
      <w:lvlText w:val="%1."/>
      <w:lvlJc w:val="left"/>
      <w:pPr>
        <w:ind w:left="-187" w:hanging="360"/>
      </w:pPr>
      <w:rPr>
        <w:rFonts w:hint="default"/>
      </w:rPr>
    </w:lvl>
    <w:lvl w:ilvl="1" w:tplc="04090019" w:tentative="1">
      <w:start w:val="1"/>
      <w:numFmt w:val="lowerLetter"/>
      <w:lvlText w:val="%2."/>
      <w:lvlJc w:val="left"/>
      <w:pPr>
        <w:ind w:left="533" w:hanging="360"/>
      </w:pPr>
    </w:lvl>
    <w:lvl w:ilvl="2" w:tplc="0409001B" w:tentative="1">
      <w:start w:val="1"/>
      <w:numFmt w:val="lowerRoman"/>
      <w:lvlText w:val="%3."/>
      <w:lvlJc w:val="right"/>
      <w:pPr>
        <w:ind w:left="1253" w:hanging="180"/>
      </w:pPr>
    </w:lvl>
    <w:lvl w:ilvl="3" w:tplc="0409000F" w:tentative="1">
      <w:start w:val="1"/>
      <w:numFmt w:val="decimal"/>
      <w:lvlText w:val="%4."/>
      <w:lvlJc w:val="left"/>
      <w:pPr>
        <w:ind w:left="1973" w:hanging="360"/>
      </w:pPr>
    </w:lvl>
    <w:lvl w:ilvl="4" w:tplc="04090019" w:tentative="1">
      <w:start w:val="1"/>
      <w:numFmt w:val="lowerLetter"/>
      <w:lvlText w:val="%5."/>
      <w:lvlJc w:val="left"/>
      <w:pPr>
        <w:ind w:left="2693" w:hanging="360"/>
      </w:pPr>
    </w:lvl>
    <w:lvl w:ilvl="5" w:tplc="0409001B" w:tentative="1">
      <w:start w:val="1"/>
      <w:numFmt w:val="lowerRoman"/>
      <w:lvlText w:val="%6."/>
      <w:lvlJc w:val="right"/>
      <w:pPr>
        <w:ind w:left="3413" w:hanging="180"/>
      </w:pPr>
    </w:lvl>
    <w:lvl w:ilvl="6" w:tplc="0409000F" w:tentative="1">
      <w:start w:val="1"/>
      <w:numFmt w:val="decimal"/>
      <w:lvlText w:val="%7."/>
      <w:lvlJc w:val="left"/>
      <w:pPr>
        <w:ind w:left="4133" w:hanging="360"/>
      </w:pPr>
    </w:lvl>
    <w:lvl w:ilvl="7" w:tplc="04090019" w:tentative="1">
      <w:start w:val="1"/>
      <w:numFmt w:val="lowerLetter"/>
      <w:lvlText w:val="%8."/>
      <w:lvlJc w:val="left"/>
      <w:pPr>
        <w:ind w:left="4853" w:hanging="360"/>
      </w:pPr>
    </w:lvl>
    <w:lvl w:ilvl="8" w:tplc="0409001B" w:tentative="1">
      <w:start w:val="1"/>
      <w:numFmt w:val="lowerRoman"/>
      <w:lvlText w:val="%9."/>
      <w:lvlJc w:val="right"/>
      <w:pPr>
        <w:ind w:left="5573" w:hanging="180"/>
      </w:pPr>
    </w:lvl>
  </w:abstractNum>
  <w:abstractNum w:abstractNumId="11">
    <w:nsid w:val="0A9D57F9"/>
    <w:multiLevelType w:val="hybridMultilevel"/>
    <w:tmpl w:val="5B2E57B2"/>
    <w:lvl w:ilvl="0" w:tplc="56544654">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0FEF07A0"/>
    <w:multiLevelType w:val="hybridMultilevel"/>
    <w:tmpl w:val="217A9288"/>
    <w:lvl w:ilvl="0" w:tplc="3B4C2A1E">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11534F01"/>
    <w:multiLevelType w:val="hybridMultilevel"/>
    <w:tmpl w:val="636CBD9C"/>
    <w:lvl w:ilvl="0" w:tplc="882A1FCE">
      <w:start w:val="1"/>
      <w:numFmt w:val="decimal"/>
      <w:lvlText w:val="%1-"/>
      <w:lvlJc w:val="left"/>
      <w:pPr>
        <w:ind w:left="-333" w:hanging="360"/>
      </w:pPr>
      <w:rPr>
        <w:rFonts w:hint="default"/>
      </w:rPr>
    </w:lvl>
    <w:lvl w:ilvl="1" w:tplc="04090019" w:tentative="1">
      <w:start w:val="1"/>
      <w:numFmt w:val="lowerLetter"/>
      <w:lvlText w:val="%2."/>
      <w:lvlJc w:val="left"/>
      <w:pPr>
        <w:ind w:left="387" w:hanging="360"/>
      </w:pPr>
    </w:lvl>
    <w:lvl w:ilvl="2" w:tplc="0409001B" w:tentative="1">
      <w:start w:val="1"/>
      <w:numFmt w:val="lowerRoman"/>
      <w:lvlText w:val="%3."/>
      <w:lvlJc w:val="right"/>
      <w:pPr>
        <w:ind w:left="1107" w:hanging="180"/>
      </w:pPr>
    </w:lvl>
    <w:lvl w:ilvl="3" w:tplc="0409000F" w:tentative="1">
      <w:start w:val="1"/>
      <w:numFmt w:val="decimal"/>
      <w:lvlText w:val="%4."/>
      <w:lvlJc w:val="left"/>
      <w:pPr>
        <w:ind w:left="1827" w:hanging="360"/>
      </w:pPr>
    </w:lvl>
    <w:lvl w:ilvl="4" w:tplc="04090019" w:tentative="1">
      <w:start w:val="1"/>
      <w:numFmt w:val="lowerLetter"/>
      <w:lvlText w:val="%5."/>
      <w:lvlJc w:val="left"/>
      <w:pPr>
        <w:ind w:left="2547" w:hanging="360"/>
      </w:pPr>
    </w:lvl>
    <w:lvl w:ilvl="5" w:tplc="0409001B" w:tentative="1">
      <w:start w:val="1"/>
      <w:numFmt w:val="lowerRoman"/>
      <w:lvlText w:val="%6."/>
      <w:lvlJc w:val="right"/>
      <w:pPr>
        <w:ind w:left="3267" w:hanging="180"/>
      </w:pPr>
    </w:lvl>
    <w:lvl w:ilvl="6" w:tplc="0409000F" w:tentative="1">
      <w:start w:val="1"/>
      <w:numFmt w:val="decimal"/>
      <w:lvlText w:val="%7."/>
      <w:lvlJc w:val="left"/>
      <w:pPr>
        <w:ind w:left="3987" w:hanging="360"/>
      </w:pPr>
    </w:lvl>
    <w:lvl w:ilvl="7" w:tplc="04090019" w:tentative="1">
      <w:start w:val="1"/>
      <w:numFmt w:val="lowerLetter"/>
      <w:lvlText w:val="%8."/>
      <w:lvlJc w:val="left"/>
      <w:pPr>
        <w:ind w:left="4707" w:hanging="360"/>
      </w:pPr>
    </w:lvl>
    <w:lvl w:ilvl="8" w:tplc="0409001B" w:tentative="1">
      <w:start w:val="1"/>
      <w:numFmt w:val="lowerRoman"/>
      <w:lvlText w:val="%9."/>
      <w:lvlJc w:val="right"/>
      <w:pPr>
        <w:ind w:left="5427" w:hanging="180"/>
      </w:pPr>
    </w:lvl>
  </w:abstractNum>
  <w:abstractNum w:abstractNumId="14">
    <w:nsid w:val="13276706"/>
    <w:multiLevelType w:val="hybridMultilevel"/>
    <w:tmpl w:val="61A6B0DC"/>
    <w:lvl w:ilvl="0" w:tplc="CF908776">
      <w:start w:val="1"/>
      <w:numFmt w:val="decimal"/>
      <w:lvlText w:val="%1."/>
      <w:lvlJc w:val="left"/>
      <w:pPr>
        <w:tabs>
          <w:tab w:val="num" w:pos="-333"/>
        </w:tabs>
        <w:ind w:left="-333" w:hanging="360"/>
      </w:pPr>
      <w:rPr>
        <w:rFonts w:hint="default"/>
      </w:rPr>
    </w:lvl>
    <w:lvl w:ilvl="1" w:tplc="04090019" w:tentative="1">
      <w:start w:val="1"/>
      <w:numFmt w:val="lowerLetter"/>
      <w:lvlText w:val="%2."/>
      <w:lvlJc w:val="left"/>
      <w:pPr>
        <w:tabs>
          <w:tab w:val="num" w:pos="387"/>
        </w:tabs>
        <w:ind w:left="387" w:hanging="360"/>
      </w:pPr>
    </w:lvl>
    <w:lvl w:ilvl="2" w:tplc="0409001B" w:tentative="1">
      <w:start w:val="1"/>
      <w:numFmt w:val="lowerRoman"/>
      <w:lvlText w:val="%3."/>
      <w:lvlJc w:val="right"/>
      <w:pPr>
        <w:tabs>
          <w:tab w:val="num" w:pos="1107"/>
        </w:tabs>
        <w:ind w:left="1107" w:hanging="180"/>
      </w:pPr>
    </w:lvl>
    <w:lvl w:ilvl="3" w:tplc="0409000F" w:tentative="1">
      <w:start w:val="1"/>
      <w:numFmt w:val="decimal"/>
      <w:lvlText w:val="%4."/>
      <w:lvlJc w:val="left"/>
      <w:pPr>
        <w:tabs>
          <w:tab w:val="num" w:pos="1827"/>
        </w:tabs>
        <w:ind w:left="1827" w:hanging="360"/>
      </w:pPr>
    </w:lvl>
    <w:lvl w:ilvl="4" w:tplc="04090019" w:tentative="1">
      <w:start w:val="1"/>
      <w:numFmt w:val="lowerLetter"/>
      <w:lvlText w:val="%5."/>
      <w:lvlJc w:val="left"/>
      <w:pPr>
        <w:tabs>
          <w:tab w:val="num" w:pos="2547"/>
        </w:tabs>
        <w:ind w:left="2547" w:hanging="360"/>
      </w:pPr>
    </w:lvl>
    <w:lvl w:ilvl="5" w:tplc="0409001B" w:tentative="1">
      <w:start w:val="1"/>
      <w:numFmt w:val="lowerRoman"/>
      <w:lvlText w:val="%6."/>
      <w:lvlJc w:val="right"/>
      <w:pPr>
        <w:tabs>
          <w:tab w:val="num" w:pos="3267"/>
        </w:tabs>
        <w:ind w:left="3267" w:hanging="180"/>
      </w:pPr>
    </w:lvl>
    <w:lvl w:ilvl="6" w:tplc="0409000F" w:tentative="1">
      <w:start w:val="1"/>
      <w:numFmt w:val="decimal"/>
      <w:lvlText w:val="%7."/>
      <w:lvlJc w:val="left"/>
      <w:pPr>
        <w:tabs>
          <w:tab w:val="num" w:pos="3987"/>
        </w:tabs>
        <w:ind w:left="3987" w:hanging="360"/>
      </w:pPr>
    </w:lvl>
    <w:lvl w:ilvl="7" w:tplc="04090019" w:tentative="1">
      <w:start w:val="1"/>
      <w:numFmt w:val="lowerLetter"/>
      <w:lvlText w:val="%8."/>
      <w:lvlJc w:val="left"/>
      <w:pPr>
        <w:tabs>
          <w:tab w:val="num" w:pos="4707"/>
        </w:tabs>
        <w:ind w:left="4707" w:hanging="360"/>
      </w:pPr>
    </w:lvl>
    <w:lvl w:ilvl="8" w:tplc="0409001B" w:tentative="1">
      <w:start w:val="1"/>
      <w:numFmt w:val="lowerRoman"/>
      <w:lvlText w:val="%9."/>
      <w:lvlJc w:val="right"/>
      <w:pPr>
        <w:tabs>
          <w:tab w:val="num" w:pos="5427"/>
        </w:tabs>
        <w:ind w:left="5427" w:hanging="180"/>
      </w:pPr>
    </w:lvl>
  </w:abstractNum>
  <w:abstractNum w:abstractNumId="15">
    <w:nsid w:val="1E491DF2"/>
    <w:multiLevelType w:val="hybridMultilevel"/>
    <w:tmpl w:val="8A30E020"/>
    <w:lvl w:ilvl="0" w:tplc="F49CC7C6">
      <w:start w:val="1"/>
      <w:numFmt w:val="decimal"/>
      <w:lvlText w:val="%1."/>
      <w:lvlJc w:val="left"/>
      <w:pPr>
        <w:tabs>
          <w:tab w:val="num" w:pos="207"/>
        </w:tabs>
        <w:ind w:left="207" w:hanging="360"/>
      </w:pPr>
      <w:rPr>
        <w:rFonts w:hint="default"/>
      </w:rPr>
    </w:lvl>
    <w:lvl w:ilvl="1" w:tplc="04090019" w:tentative="1">
      <w:start w:val="1"/>
      <w:numFmt w:val="lowerLetter"/>
      <w:lvlText w:val="%2."/>
      <w:lvlJc w:val="left"/>
      <w:pPr>
        <w:tabs>
          <w:tab w:val="num" w:pos="927"/>
        </w:tabs>
        <w:ind w:left="927" w:hanging="360"/>
      </w:pPr>
    </w:lvl>
    <w:lvl w:ilvl="2" w:tplc="0409001B" w:tentative="1">
      <w:start w:val="1"/>
      <w:numFmt w:val="lowerRoman"/>
      <w:lvlText w:val="%3."/>
      <w:lvlJc w:val="right"/>
      <w:pPr>
        <w:tabs>
          <w:tab w:val="num" w:pos="1647"/>
        </w:tabs>
        <w:ind w:left="1647" w:hanging="180"/>
      </w:pPr>
    </w:lvl>
    <w:lvl w:ilvl="3" w:tplc="0409000F" w:tentative="1">
      <w:start w:val="1"/>
      <w:numFmt w:val="decimal"/>
      <w:lvlText w:val="%4."/>
      <w:lvlJc w:val="left"/>
      <w:pPr>
        <w:tabs>
          <w:tab w:val="num" w:pos="2367"/>
        </w:tabs>
        <w:ind w:left="2367" w:hanging="360"/>
      </w:pPr>
    </w:lvl>
    <w:lvl w:ilvl="4" w:tplc="04090019" w:tentative="1">
      <w:start w:val="1"/>
      <w:numFmt w:val="lowerLetter"/>
      <w:lvlText w:val="%5."/>
      <w:lvlJc w:val="left"/>
      <w:pPr>
        <w:tabs>
          <w:tab w:val="num" w:pos="3087"/>
        </w:tabs>
        <w:ind w:left="3087" w:hanging="360"/>
      </w:pPr>
    </w:lvl>
    <w:lvl w:ilvl="5" w:tplc="0409001B" w:tentative="1">
      <w:start w:val="1"/>
      <w:numFmt w:val="lowerRoman"/>
      <w:lvlText w:val="%6."/>
      <w:lvlJc w:val="right"/>
      <w:pPr>
        <w:tabs>
          <w:tab w:val="num" w:pos="3807"/>
        </w:tabs>
        <w:ind w:left="3807" w:hanging="180"/>
      </w:pPr>
    </w:lvl>
    <w:lvl w:ilvl="6" w:tplc="0409000F" w:tentative="1">
      <w:start w:val="1"/>
      <w:numFmt w:val="decimal"/>
      <w:lvlText w:val="%7."/>
      <w:lvlJc w:val="left"/>
      <w:pPr>
        <w:tabs>
          <w:tab w:val="num" w:pos="4527"/>
        </w:tabs>
        <w:ind w:left="4527" w:hanging="360"/>
      </w:pPr>
    </w:lvl>
    <w:lvl w:ilvl="7" w:tplc="04090019" w:tentative="1">
      <w:start w:val="1"/>
      <w:numFmt w:val="lowerLetter"/>
      <w:lvlText w:val="%8."/>
      <w:lvlJc w:val="left"/>
      <w:pPr>
        <w:tabs>
          <w:tab w:val="num" w:pos="5247"/>
        </w:tabs>
        <w:ind w:left="5247" w:hanging="360"/>
      </w:pPr>
    </w:lvl>
    <w:lvl w:ilvl="8" w:tplc="0409001B" w:tentative="1">
      <w:start w:val="1"/>
      <w:numFmt w:val="lowerRoman"/>
      <w:lvlText w:val="%9."/>
      <w:lvlJc w:val="right"/>
      <w:pPr>
        <w:tabs>
          <w:tab w:val="num" w:pos="5967"/>
        </w:tabs>
        <w:ind w:left="5967" w:hanging="180"/>
      </w:pPr>
    </w:lvl>
  </w:abstractNum>
  <w:abstractNum w:abstractNumId="16">
    <w:nsid w:val="1F7F7A35"/>
    <w:multiLevelType w:val="hybridMultilevel"/>
    <w:tmpl w:val="5740BD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8587AF9"/>
    <w:multiLevelType w:val="hybridMultilevel"/>
    <w:tmpl w:val="717E842E"/>
    <w:lvl w:ilvl="0" w:tplc="1E02A94C">
      <w:start w:val="1"/>
      <w:numFmt w:val="decimal"/>
      <w:lvlText w:val="%1-"/>
      <w:lvlJc w:val="left"/>
      <w:pPr>
        <w:ind w:left="-157" w:hanging="390"/>
      </w:pPr>
      <w:rPr>
        <w:rFonts w:hint="default"/>
        <w:b w:val="0"/>
      </w:rPr>
    </w:lvl>
    <w:lvl w:ilvl="1" w:tplc="04090019" w:tentative="1">
      <w:start w:val="1"/>
      <w:numFmt w:val="lowerLetter"/>
      <w:lvlText w:val="%2."/>
      <w:lvlJc w:val="left"/>
      <w:pPr>
        <w:ind w:left="533" w:hanging="360"/>
      </w:pPr>
    </w:lvl>
    <w:lvl w:ilvl="2" w:tplc="0409001B" w:tentative="1">
      <w:start w:val="1"/>
      <w:numFmt w:val="lowerRoman"/>
      <w:lvlText w:val="%3."/>
      <w:lvlJc w:val="right"/>
      <w:pPr>
        <w:ind w:left="1253" w:hanging="180"/>
      </w:pPr>
    </w:lvl>
    <w:lvl w:ilvl="3" w:tplc="0409000F" w:tentative="1">
      <w:start w:val="1"/>
      <w:numFmt w:val="decimal"/>
      <w:lvlText w:val="%4."/>
      <w:lvlJc w:val="left"/>
      <w:pPr>
        <w:ind w:left="1973" w:hanging="360"/>
      </w:pPr>
    </w:lvl>
    <w:lvl w:ilvl="4" w:tplc="04090019" w:tentative="1">
      <w:start w:val="1"/>
      <w:numFmt w:val="lowerLetter"/>
      <w:lvlText w:val="%5."/>
      <w:lvlJc w:val="left"/>
      <w:pPr>
        <w:ind w:left="2693" w:hanging="360"/>
      </w:pPr>
    </w:lvl>
    <w:lvl w:ilvl="5" w:tplc="0409001B" w:tentative="1">
      <w:start w:val="1"/>
      <w:numFmt w:val="lowerRoman"/>
      <w:lvlText w:val="%6."/>
      <w:lvlJc w:val="right"/>
      <w:pPr>
        <w:ind w:left="3413" w:hanging="180"/>
      </w:pPr>
    </w:lvl>
    <w:lvl w:ilvl="6" w:tplc="0409000F" w:tentative="1">
      <w:start w:val="1"/>
      <w:numFmt w:val="decimal"/>
      <w:lvlText w:val="%7."/>
      <w:lvlJc w:val="left"/>
      <w:pPr>
        <w:ind w:left="4133" w:hanging="360"/>
      </w:pPr>
    </w:lvl>
    <w:lvl w:ilvl="7" w:tplc="04090019" w:tentative="1">
      <w:start w:val="1"/>
      <w:numFmt w:val="lowerLetter"/>
      <w:lvlText w:val="%8."/>
      <w:lvlJc w:val="left"/>
      <w:pPr>
        <w:ind w:left="4853" w:hanging="360"/>
      </w:pPr>
    </w:lvl>
    <w:lvl w:ilvl="8" w:tplc="0409001B" w:tentative="1">
      <w:start w:val="1"/>
      <w:numFmt w:val="lowerRoman"/>
      <w:lvlText w:val="%9."/>
      <w:lvlJc w:val="right"/>
      <w:pPr>
        <w:ind w:left="5573" w:hanging="180"/>
      </w:pPr>
    </w:lvl>
  </w:abstractNum>
  <w:abstractNum w:abstractNumId="18">
    <w:nsid w:val="3ECF5A3D"/>
    <w:multiLevelType w:val="hybridMultilevel"/>
    <w:tmpl w:val="94C82544"/>
    <w:lvl w:ilvl="0" w:tplc="0532A676">
      <w:start w:val="1"/>
      <w:numFmt w:val="decimal"/>
      <w:lvlText w:val="%1-"/>
      <w:lvlJc w:val="left"/>
      <w:pPr>
        <w:ind w:left="-187" w:hanging="360"/>
      </w:pPr>
      <w:rPr>
        <w:rFonts w:hint="default"/>
      </w:rPr>
    </w:lvl>
    <w:lvl w:ilvl="1" w:tplc="04090019" w:tentative="1">
      <w:start w:val="1"/>
      <w:numFmt w:val="lowerLetter"/>
      <w:lvlText w:val="%2."/>
      <w:lvlJc w:val="left"/>
      <w:pPr>
        <w:ind w:left="533" w:hanging="360"/>
      </w:pPr>
    </w:lvl>
    <w:lvl w:ilvl="2" w:tplc="0409001B" w:tentative="1">
      <w:start w:val="1"/>
      <w:numFmt w:val="lowerRoman"/>
      <w:lvlText w:val="%3."/>
      <w:lvlJc w:val="right"/>
      <w:pPr>
        <w:ind w:left="1253" w:hanging="180"/>
      </w:pPr>
    </w:lvl>
    <w:lvl w:ilvl="3" w:tplc="0409000F" w:tentative="1">
      <w:start w:val="1"/>
      <w:numFmt w:val="decimal"/>
      <w:lvlText w:val="%4."/>
      <w:lvlJc w:val="left"/>
      <w:pPr>
        <w:ind w:left="1973" w:hanging="360"/>
      </w:pPr>
    </w:lvl>
    <w:lvl w:ilvl="4" w:tplc="04090019" w:tentative="1">
      <w:start w:val="1"/>
      <w:numFmt w:val="lowerLetter"/>
      <w:lvlText w:val="%5."/>
      <w:lvlJc w:val="left"/>
      <w:pPr>
        <w:ind w:left="2693" w:hanging="360"/>
      </w:pPr>
    </w:lvl>
    <w:lvl w:ilvl="5" w:tplc="0409001B" w:tentative="1">
      <w:start w:val="1"/>
      <w:numFmt w:val="lowerRoman"/>
      <w:lvlText w:val="%6."/>
      <w:lvlJc w:val="right"/>
      <w:pPr>
        <w:ind w:left="3413" w:hanging="180"/>
      </w:pPr>
    </w:lvl>
    <w:lvl w:ilvl="6" w:tplc="0409000F" w:tentative="1">
      <w:start w:val="1"/>
      <w:numFmt w:val="decimal"/>
      <w:lvlText w:val="%7."/>
      <w:lvlJc w:val="left"/>
      <w:pPr>
        <w:ind w:left="4133" w:hanging="360"/>
      </w:pPr>
    </w:lvl>
    <w:lvl w:ilvl="7" w:tplc="04090019" w:tentative="1">
      <w:start w:val="1"/>
      <w:numFmt w:val="lowerLetter"/>
      <w:lvlText w:val="%8."/>
      <w:lvlJc w:val="left"/>
      <w:pPr>
        <w:ind w:left="4853" w:hanging="360"/>
      </w:pPr>
    </w:lvl>
    <w:lvl w:ilvl="8" w:tplc="0409001B" w:tentative="1">
      <w:start w:val="1"/>
      <w:numFmt w:val="lowerRoman"/>
      <w:lvlText w:val="%9."/>
      <w:lvlJc w:val="right"/>
      <w:pPr>
        <w:ind w:left="5573" w:hanging="180"/>
      </w:pPr>
    </w:lvl>
  </w:abstractNum>
  <w:abstractNum w:abstractNumId="19">
    <w:nsid w:val="42DE71B6"/>
    <w:multiLevelType w:val="hybridMultilevel"/>
    <w:tmpl w:val="41523C60"/>
    <w:lvl w:ilvl="0" w:tplc="8DEE70B4">
      <w:start w:val="1"/>
      <w:numFmt w:val="decimal"/>
      <w:lvlText w:val="%1-"/>
      <w:lvlJc w:val="left"/>
      <w:pPr>
        <w:ind w:left="-333" w:hanging="360"/>
      </w:pPr>
      <w:rPr>
        <w:rFonts w:hint="default"/>
      </w:rPr>
    </w:lvl>
    <w:lvl w:ilvl="1" w:tplc="04090019" w:tentative="1">
      <w:start w:val="1"/>
      <w:numFmt w:val="lowerLetter"/>
      <w:lvlText w:val="%2."/>
      <w:lvlJc w:val="left"/>
      <w:pPr>
        <w:ind w:left="387" w:hanging="360"/>
      </w:pPr>
    </w:lvl>
    <w:lvl w:ilvl="2" w:tplc="0409001B" w:tentative="1">
      <w:start w:val="1"/>
      <w:numFmt w:val="lowerRoman"/>
      <w:lvlText w:val="%3."/>
      <w:lvlJc w:val="right"/>
      <w:pPr>
        <w:ind w:left="1107" w:hanging="180"/>
      </w:pPr>
    </w:lvl>
    <w:lvl w:ilvl="3" w:tplc="0409000F" w:tentative="1">
      <w:start w:val="1"/>
      <w:numFmt w:val="decimal"/>
      <w:lvlText w:val="%4."/>
      <w:lvlJc w:val="left"/>
      <w:pPr>
        <w:ind w:left="1827" w:hanging="360"/>
      </w:pPr>
    </w:lvl>
    <w:lvl w:ilvl="4" w:tplc="04090019" w:tentative="1">
      <w:start w:val="1"/>
      <w:numFmt w:val="lowerLetter"/>
      <w:lvlText w:val="%5."/>
      <w:lvlJc w:val="left"/>
      <w:pPr>
        <w:ind w:left="2547" w:hanging="360"/>
      </w:pPr>
    </w:lvl>
    <w:lvl w:ilvl="5" w:tplc="0409001B" w:tentative="1">
      <w:start w:val="1"/>
      <w:numFmt w:val="lowerRoman"/>
      <w:lvlText w:val="%6."/>
      <w:lvlJc w:val="right"/>
      <w:pPr>
        <w:ind w:left="3267" w:hanging="180"/>
      </w:pPr>
    </w:lvl>
    <w:lvl w:ilvl="6" w:tplc="0409000F" w:tentative="1">
      <w:start w:val="1"/>
      <w:numFmt w:val="decimal"/>
      <w:lvlText w:val="%7."/>
      <w:lvlJc w:val="left"/>
      <w:pPr>
        <w:ind w:left="3987" w:hanging="360"/>
      </w:pPr>
    </w:lvl>
    <w:lvl w:ilvl="7" w:tplc="04090019" w:tentative="1">
      <w:start w:val="1"/>
      <w:numFmt w:val="lowerLetter"/>
      <w:lvlText w:val="%8."/>
      <w:lvlJc w:val="left"/>
      <w:pPr>
        <w:ind w:left="4707" w:hanging="360"/>
      </w:pPr>
    </w:lvl>
    <w:lvl w:ilvl="8" w:tplc="0409001B" w:tentative="1">
      <w:start w:val="1"/>
      <w:numFmt w:val="lowerRoman"/>
      <w:lvlText w:val="%9."/>
      <w:lvlJc w:val="right"/>
      <w:pPr>
        <w:ind w:left="5427" w:hanging="180"/>
      </w:pPr>
    </w:lvl>
  </w:abstractNum>
  <w:abstractNum w:abstractNumId="20">
    <w:nsid w:val="5D76394D"/>
    <w:multiLevelType w:val="hybridMultilevel"/>
    <w:tmpl w:val="C216746C"/>
    <w:lvl w:ilvl="0" w:tplc="D6BC767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8F37E0"/>
    <w:multiLevelType w:val="hybridMultilevel"/>
    <w:tmpl w:val="C01ED9B6"/>
    <w:lvl w:ilvl="0" w:tplc="B3C87F14">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00A39F8"/>
    <w:multiLevelType w:val="hybridMultilevel"/>
    <w:tmpl w:val="7DBADD7E"/>
    <w:lvl w:ilvl="0" w:tplc="B3FC7756">
      <w:start w:val="1"/>
      <w:numFmt w:val="bullet"/>
      <w:lvlText w:val="-"/>
      <w:lvlJc w:val="left"/>
      <w:pPr>
        <w:ind w:left="27" w:hanging="360"/>
      </w:pPr>
      <w:rPr>
        <w:rFonts w:ascii="Calibri" w:eastAsia="Calibri" w:hAnsi="Calibri" w:cs="Simplified Arabic" w:hint="default"/>
      </w:rPr>
    </w:lvl>
    <w:lvl w:ilvl="1" w:tplc="04090003" w:tentative="1">
      <w:start w:val="1"/>
      <w:numFmt w:val="bullet"/>
      <w:lvlText w:val="o"/>
      <w:lvlJc w:val="left"/>
      <w:pPr>
        <w:ind w:left="747" w:hanging="360"/>
      </w:pPr>
      <w:rPr>
        <w:rFonts w:ascii="Courier New" w:hAnsi="Courier New" w:cs="Courier New" w:hint="default"/>
      </w:rPr>
    </w:lvl>
    <w:lvl w:ilvl="2" w:tplc="04090005" w:tentative="1">
      <w:start w:val="1"/>
      <w:numFmt w:val="bullet"/>
      <w:lvlText w:val=""/>
      <w:lvlJc w:val="left"/>
      <w:pPr>
        <w:ind w:left="1467" w:hanging="360"/>
      </w:pPr>
      <w:rPr>
        <w:rFonts w:ascii="Wingdings" w:hAnsi="Wingdings" w:hint="default"/>
      </w:rPr>
    </w:lvl>
    <w:lvl w:ilvl="3" w:tplc="04090001" w:tentative="1">
      <w:start w:val="1"/>
      <w:numFmt w:val="bullet"/>
      <w:lvlText w:val=""/>
      <w:lvlJc w:val="left"/>
      <w:pPr>
        <w:ind w:left="2187" w:hanging="360"/>
      </w:pPr>
      <w:rPr>
        <w:rFonts w:ascii="Symbol" w:hAnsi="Symbol" w:hint="default"/>
      </w:rPr>
    </w:lvl>
    <w:lvl w:ilvl="4" w:tplc="04090003" w:tentative="1">
      <w:start w:val="1"/>
      <w:numFmt w:val="bullet"/>
      <w:lvlText w:val="o"/>
      <w:lvlJc w:val="left"/>
      <w:pPr>
        <w:ind w:left="2907" w:hanging="360"/>
      </w:pPr>
      <w:rPr>
        <w:rFonts w:ascii="Courier New" w:hAnsi="Courier New" w:cs="Courier New" w:hint="default"/>
      </w:rPr>
    </w:lvl>
    <w:lvl w:ilvl="5" w:tplc="04090005" w:tentative="1">
      <w:start w:val="1"/>
      <w:numFmt w:val="bullet"/>
      <w:lvlText w:val=""/>
      <w:lvlJc w:val="left"/>
      <w:pPr>
        <w:ind w:left="3627" w:hanging="360"/>
      </w:pPr>
      <w:rPr>
        <w:rFonts w:ascii="Wingdings" w:hAnsi="Wingdings" w:hint="default"/>
      </w:rPr>
    </w:lvl>
    <w:lvl w:ilvl="6" w:tplc="04090001" w:tentative="1">
      <w:start w:val="1"/>
      <w:numFmt w:val="bullet"/>
      <w:lvlText w:val=""/>
      <w:lvlJc w:val="left"/>
      <w:pPr>
        <w:ind w:left="4347" w:hanging="360"/>
      </w:pPr>
      <w:rPr>
        <w:rFonts w:ascii="Symbol" w:hAnsi="Symbol" w:hint="default"/>
      </w:rPr>
    </w:lvl>
    <w:lvl w:ilvl="7" w:tplc="04090003" w:tentative="1">
      <w:start w:val="1"/>
      <w:numFmt w:val="bullet"/>
      <w:lvlText w:val="o"/>
      <w:lvlJc w:val="left"/>
      <w:pPr>
        <w:ind w:left="5067" w:hanging="360"/>
      </w:pPr>
      <w:rPr>
        <w:rFonts w:ascii="Courier New" w:hAnsi="Courier New" w:cs="Courier New" w:hint="default"/>
      </w:rPr>
    </w:lvl>
    <w:lvl w:ilvl="8" w:tplc="04090005" w:tentative="1">
      <w:start w:val="1"/>
      <w:numFmt w:val="bullet"/>
      <w:lvlText w:val=""/>
      <w:lvlJc w:val="left"/>
      <w:pPr>
        <w:ind w:left="5787" w:hanging="360"/>
      </w:pPr>
      <w:rPr>
        <w:rFonts w:ascii="Wingdings" w:hAnsi="Wingdings" w:hint="default"/>
      </w:rPr>
    </w:lvl>
  </w:abstractNum>
  <w:abstractNum w:abstractNumId="23">
    <w:nsid w:val="63353D92"/>
    <w:multiLevelType w:val="hybridMultilevel"/>
    <w:tmpl w:val="48462170"/>
    <w:lvl w:ilvl="0" w:tplc="676E4F5E">
      <w:start w:val="1"/>
      <w:numFmt w:val="decimal"/>
      <w:lvlText w:val="%1-"/>
      <w:lvlJc w:val="left"/>
      <w:pPr>
        <w:ind w:left="360" w:hanging="360"/>
      </w:pPr>
      <w:rPr>
        <w:rFonts w:hint="default"/>
      </w:rPr>
    </w:lvl>
    <w:lvl w:ilvl="1" w:tplc="04090019" w:tentative="1">
      <w:start w:val="1"/>
      <w:numFmt w:val="lowerLetter"/>
      <w:lvlText w:val="%2."/>
      <w:lvlJc w:val="left"/>
      <w:pPr>
        <w:ind w:left="387" w:hanging="360"/>
      </w:pPr>
    </w:lvl>
    <w:lvl w:ilvl="2" w:tplc="0409001B" w:tentative="1">
      <w:start w:val="1"/>
      <w:numFmt w:val="lowerRoman"/>
      <w:lvlText w:val="%3."/>
      <w:lvlJc w:val="right"/>
      <w:pPr>
        <w:ind w:left="1107" w:hanging="180"/>
      </w:pPr>
    </w:lvl>
    <w:lvl w:ilvl="3" w:tplc="0409000F" w:tentative="1">
      <w:start w:val="1"/>
      <w:numFmt w:val="decimal"/>
      <w:lvlText w:val="%4."/>
      <w:lvlJc w:val="left"/>
      <w:pPr>
        <w:ind w:left="1827" w:hanging="360"/>
      </w:pPr>
    </w:lvl>
    <w:lvl w:ilvl="4" w:tplc="04090019" w:tentative="1">
      <w:start w:val="1"/>
      <w:numFmt w:val="lowerLetter"/>
      <w:lvlText w:val="%5."/>
      <w:lvlJc w:val="left"/>
      <w:pPr>
        <w:ind w:left="2547" w:hanging="360"/>
      </w:pPr>
    </w:lvl>
    <w:lvl w:ilvl="5" w:tplc="0409001B" w:tentative="1">
      <w:start w:val="1"/>
      <w:numFmt w:val="lowerRoman"/>
      <w:lvlText w:val="%6."/>
      <w:lvlJc w:val="right"/>
      <w:pPr>
        <w:ind w:left="3267" w:hanging="180"/>
      </w:pPr>
    </w:lvl>
    <w:lvl w:ilvl="6" w:tplc="0409000F" w:tentative="1">
      <w:start w:val="1"/>
      <w:numFmt w:val="decimal"/>
      <w:lvlText w:val="%7."/>
      <w:lvlJc w:val="left"/>
      <w:pPr>
        <w:ind w:left="3987" w:hanging="360"/>
      </w:pPr>
    </w:lvl>
    <w:lvl w:ilvl="7" w:tplc="04090019" w:tentative="1">
      <w:start w:val="1"/>
      <w:numFmt w:val="lowerLetter"/>
      <w:lvlText w:val="%8."/>
      <w:lvlJc w:val="left"/>
      <w:pPr>
        <w:ind w:left="4707" w:hanging="360"/>
      </w:pPr>
    </w:lvl>
    <w:lvl w:ilvl="8" w:tplc="0409001B" w:tentative="1">
      <w:start w:val="1"/>
      <w:numFmt w:val="lowerRoman"/>
      <w:lvlText w:val="%9."/>
      <w:lvlJc w:val="right"/>
      <w:pPr>
        <w:ind w:left="5427" w:hanging="180"/>
      </w:pPr>
    </w:lvl>
  </w:abstractNum>
  <w:abstractNum w:abstractNumId="24">
    <w:nsid w:val="65F77F3D"/>
    <w:multiLevelType w:val="hybridMultilevel"/>
    <w:tmpl w:val="C23CF332"/>
    <w:lvl w:ilvl="0" w:tplc="7A7ED9D8">
      <w:start w:val="1"/>
      <w:numFmt w:val="decimal"/>
      <w:lvlText w:val="%1."/>
      <w:lvlJc w:val="left"/>
      <w:pPr>
        <w:tabs>
          <w:tab w:val="num" w:pos="732"/>
        </w:tabs>
        <w:ind w:left="732" w:hanging="885"/>
      </w:pPr>
      <w:rPr>
        <w:rFonts w:hint="default"/>
      </w:rPr>
    </w:lvl>
    <w:lvl w:ilvl="1" w:tplc="04090019" w:tentative="1">
      <w:start w:val="1"/>
      <w:numFmt w:val="lowerLetter"/>
      <w:lvlText w:val="%2."/>
      <w:lvlJc w:val="left"/>
      <w:pPr>
        <w:tabs>
          <w:tab w:val="num" w:pos="927"/>
        </w:tabs>
        <w:ind w:left="927" w:hanging="360"/>
      </w:pPr>
    </w:lvl>
    <w:lvl w:ilvl="2" w:tplc="0409001B" w:tentative="1">
      <w:start w:val="1"/>
      <w:numFmt w:val="lowerRoman"/>
      <w:lvlText w:val="%3."/>
      <w:lvlJc w:val="right"/>
      <w:pPr>
        <w:tabs>
          <w:tab w:val="num" w:pos="1647"/>
        </w:tabs>
        <w:ind w:left="1647" w:hanging="180"/>
      </w:pPr>
    </w:lvl>
    <w:lvl w:ilvl="3" w:tplc="0409000F" w:tentative="1">
      <w:start w:val="1"/>
      <w:numFmt w:val="decimal"/>
      <w:lvlText w:val="%4."/>
      <w:lvlJc w:val="left"/>
      <w:pPr>
        <w:tabs>
          <w:tab w:val="num" w:pos="2367"/>
        </w:tabs>
        <w:ind w:left="2367" w:hanging="360"/>
      </w:pPr>
    </w:lvl>
    <w:lvl w:ilvl="4" w:tplc="04090019" w:tentative="1">
      <w:start w:val="1"/>
      <w:numFmt w:val="lowerLetter"/>
      <w:lvlText w:val="%5."/>
      <w:lvlJc w:val="left"/>
      <w:pPr>
        <w:tabs>
          <w:tab w:val="num" w:pos="3087"/>
        </w:tabs>
        <w:ind w:left="3087" w:hanging="360"/>
      </w:pPr>
    </w:lvl>
    <w:lvl w:ilvl="5" w:tplc="0409001B" w:tentative="1">
      <w:start w:val="1"/>
      <w:numFmt w:val="lowerRoman"/>
      <w:lvlText w:val="%6."/>
      <w:lvlJc w:val="right"/>
      <w:pPr>
        <w:tabs>
          <w:tab w:val="num" w:pos="3807"/>
        </w:tabs>
        <w:ind w:left="3807" w:hanging="180"/>
      </w:pPr>
    </w:lvl>
    <w:lvl w:ilvl="6" w:tplc="0409000F" w:tentative="1">
      <w:start w:val="1"/>
      <w:numFmt w:val="decimal"/>
      <w:lvlText w:val="%7."/>
      <w:lvlJc w:val="left"/>
      <w:pPr>
        <w:tabs>
          <w:tab w:val="num" w:pos="4527"/>
        </w:tabs>
        <w:ind w:left="4527" w:hanging="360"/>
      </w:pPr>
    </w:lvl>
    <w:lvl w:ilvl="7" w:tplc="04090019" w:tentative="1">
      <w:start w:val="1"/>
      <w:numFmt w:val="lowerLetter"/>
      <w:lvlText w:val="%8."/>
      <w:lvlJc w:val="left"/>
      <w:pPr>
        <w:tabs>
          <w:tab w:val="num" w:pos="5247"/>
        </w:tabs>
        <w:ind w:left="5247" w:hanging="360"/>
      </w:pPr>
    </w:lvl>
    <w:lvl w:ilvl="8" w:tplc="0409001B" w:tentative="1">
      <w:start w:val="1"/>
      <w:numFmt w:val="lowerRoman"/>
      <w:lvlText w:val="%9."/>
      <w:lvlJc w:val="right"/>
      <w:pPr>
        <w:tabs>
          <w:tab w:val="num" w:pos="5967"/>
        </w:tabs>
        <w:ind w:left="5967" w:hanging="180"/>
      </w:pPr>
    </w:lvl>
  </w:abstractNum>
  <w:abstractNum w:abstractNumId="25">
    <w:nsid w:val="68C05654"/>
    <w:multiLevelType w:val="hybridMultilevel"/>
    <w:tmpl w:val="35788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AB85606"/>
    <w:multiLevelType w:val="hybridMultilevel"/>
    <w:tmpl w:val="A71EB232"/>
    <w:lvl w:ilvl="0" w:tplc="D826E6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AC06D58"/>
    <w:multiLevelType w:val="hybridMultilevel"/>
    <w:tmpl w:val="5920B402"/>
    <w:lvl w:ilvl="0" w:tplc="236067CC">
      <w:start w:val="1"/>
      <w:numFmt w:val="decimal"/>
      <w:lvlText w:val="%1."/>
      <w:lvlJc w:val="left"/>
      <w:pPr>
        <w:tabs>
          <w:tab w:val="num" w:pos="360"/>
        </w:tabs>
        <w:ind w:left="360" w:hanging="360"/>
      </w:pPr>
      <w:rPr>
        <w:rFonts w:hint="default"/>
      </w:rPr>
    </w:lvl>
    <w:lvl w:ilvl="1" w:tplc="4B2667E2">
      <w:start w:val="12"/>
      <w:numFmt w:val="decimal"/>
      <w:lvlText w:val="%2-"/>
      <w:lvlJc w:val="left"/>
      <w:pPr>
        <w:tabs>
          <w:tab w:val="num" w:pos="387"/>
        </w:tabs>
        <w:ind w:left="387" w:hanging="360"/>
      </w:pPr>
      <w:rPr>
        <w:rFonts w:hint="default"/>
      </w:rPr>
    </w:lvl>
    <w:lvl w:ilvl="2" w:tplc="0409001B" w:tentative="1">
      <w:start w:val="1"/>
      <w:numFmt w:val="lowerRoman"/>
      <w:lvlText w:val="%3."/>
      <w:lvlJc w:val="right"/>
      <w:pPr>
        <w:tabs>
          <w:tab w:val="num" w:pos="1107"/>
        </w:tabs>
        <w:ind w:left="1107" w:hanging="180"/>
      </w:pPr>
    </w:lvl>
    <w:lvl w:ilvl="3" w:tplc="0409000F" w:tentative="1">
      <w:start w:val="1"/>
      <w:numFmt w:val="decimal"/>
      <w:lvlText w:val="%4."/>
      <w:lvlJc w:val="left"/>
      <w:pPr>
        <w:tabs>
          <w:tab w:val="num" w:pos="1827"/>
        </w:tabs>
        <w:ind w:left="1827" w:hanging="360"/>
      </w:pPr>
    </w:lvl>
    <w:lvl w:ilvl="4" w:tplc="04090019" w:tentative="1">
      <w:start w:val="1"/>
      <w:numFmt w:val="lowerLetter"/>
      <w:lvlText w:val="%5."/>
      <w:lvlJc w:val="left"/>
      <w:pPr>
        <w:tabs>
          <w:tab w:val="num" w:pos="2547"/>
        </w:tabs>
        <w:ind w:left="2547" w:hanging="360"/>
      </w:pPr>
    </w:lvl>
    <w:lvl w:ilvl="5" w:tplc="0409001B" w:tentative="1">
      <w:start w:val="1"/>
      <w:numFmt w:val="lowerRoman"/>
      <w:lvlText w:val="%6."/>
      <w:lvlJc w:val="right"/>
      <w:pPr>
        <w:tabs>
          <w:tab w:val="num" w:pos="3267"/>
        </w:tabs>
        <w:ind w:left="3267" w:hanging="180"/>
      </w:pPr>
    </w:lvl>
    <w:lvl w:ilvl="6" w:tplc="0409000F" w:tentative="1">
      <w:start w:val="1"/>
      <w:numFmt w:val="decimal"/>
      <w:lvlText w:val="%7."/>
      <w:lvlJc w:val="left"/>
      <w:pPr>
        <w:tabs>
          <w:tab w:val="num" w:pos="3987"/>
        </w:tabs>
        <w:ind w:left="3987" w:hanging="360"/>
      </w:pPr>
    </w:lvl>
    <w:lvl w:ilvl="7" w:tplc="04090019" w:tentative="1">
      <w:start w:val="1"/>
      <w:numFmt w:val="lowerLetter"/>
      <w:lvlText w:val="%8."/>
      <w:lvlJc w:val="left"/>
      <w:pPr>
        <w:tabs>
          <w:tab w:val="num" w:pos="4707"/>
        </w:tabs>
        <w:ind w:left="4707" w:hanging="360"/>
      </w:pPr>
    </w:lvl>
    <w:lvl w:ilvl="8" w:tplc="0409001B" w:tentative="1">
      <w:start w:val="1"/>
      <w:numFmt w:val="lowerRoman"/>
      <w:lvlText w:val="%9."/>
      <w:lvlJc w:val="right"/>
      <w:pPr>
        <w:tabs>
          <w:tab w:val="num" w:pos="5427"/>
        </w:tabs>
        <w:ind w:left="5427" w:hanging="180"/>
      </w:pPr>
    </w:lvl>
  </w:abstractNum>
  <w:abstractNum w:abstractNumId="28">
    <w:nsid w:val="7FC8761D"/>
    <w:multiLevelType w:val="hybridMultilevel"/>
    <w:tmpl w:val="EB165800"/>
    <w:lvl w:ilvl="0" w:tplc="7BCEF85E">
      <w:start w:val="1"/>
      <w:numFmt w:val="decimal"/>
      <w:lvlText w:val="%1."/>
      <w:lvlJc w:val="left"/>
      <w:pPr>
        <w:ind w:left="-318" w:hanging="375"/>
      </w:pPr>
      <w:rPr>
        <w:rFonts w:hint="default"/>
      </w:rPr>
    </w:lvl>
    <w:lvl w:ilvl="1" w:tplc="04090019" w:tentative="1">
      <w:start w:val="1"/>
      <w:numFmt w:val="lowerLetter"/>
      <w:lvlText w:val="%2."/>
      <w:lvlJc w:val="left"/>
      <w:pPr>
        <w:ind w:left="387" w:hanging="360"/>
      </w:pPr>
    </w:lvl>
    <w:lvl w:ilvl="2" w:tplc="0409001B" w:tentative="1">
      <w:start w:val="1"/>
      <w:numFmt w:val="lowerRoman"/>
      <w:lvlText w:val="%3."/>
      <w:lvlJc w:val="right"/>
      <w:pPr>
        <w:ind w:left="1107" w:hanging="180"/>
      </w:pPr>
    </w:lvl>
    <w:lvl w:ilvl="3" w:tplc="0409000F" w:tentative="1">
      <w:start w:val="1"/>
      <w:numFmt w:val="decimal"/>
      <w:lvlText w:val="%4."/>
      <w:lvlJc w:val="left"/>
      <w:pPr>
        <w:ind w:left="1827" w:hanging="360"/>
      </w:pPr>
    </w:lvl>
    <w:lvl w:ilvl="4" w:tplc="04090019" w:tentative="1">
      <w:start w:val="1"/>
      <w:numFmt w:val="lowerLetter"/>
      <w:lvlText w:val="%5."/>
      <w:lvlJc w:val="left"/>
      <w:pPr>
        <w:ind w:left="2547" w:hanging="360"/>
      </w:pPr>
    </w:lvl>
    <w:lvl w:ilvl="5" w:tplc="0409001B" w:tentative="1">
      <w:start w:val="1"/>
      <w:numFmt w:val="lowerRoman"/>
      <w:lvlText w:val="%6."/>
      <w:lvlJc w:val="right"/>
      <w:pPr>
        <w:ind w:left="3267" w:hanging="180"/>
      </w:pPr>
    </w:lvl>
    <w:lvl w:ilvl="6" w:tplc="0409000F" w:tentative="1">
      <w:start w:val="1"/>
      <w:numFmt w:val="decimal"/>
      <w:lvlText w:val="%7."/>
      <w:lvlJc w:val="left"/>
      <w:pPr>
        <w:ind w:left="3987" w:hanging="360"/>
      </w:pPr>
    </w:lvl>
    <w:lvl w:ilvl="7" w:tplc="04090019" w:tentative="1">
      <w:start w:val="1"/>
      <w:numFmt w:val="lowerLetter"/>
      <w:lvlText w:val="%8."/>
      <w:lvlJc w:val="left"/>
      <w:pPr>
        <w:ind w:left="4707" w:hanging="360"/>
      </w:pPr>
    </w:lvl>
    <w:lvl w:ilvl="8" w:tplc="0409001B" w:tentative="1">
      <w:start w:val="1"/>
      <w:numFmt w:val="lowerRoman"/>
      <w:lvlText w:val="%9."/>
      <w:lvlJc w:val="right"/>
      <w:pPr>
        <w:ind w:left="5427" w:hanging="180"/>
      </w:pPr>
    </w:lvl>
  </w:abstractNum>
  <w:num w:numId="1">
    <w:abstractNumId w:val="26"/>
  </w:num>
  <w:num w:numId="2">
    <w:abstractNumId w:val="20"/>
  </w:num>
  <w:num w:numId="3">
    <w:abstractNumId w:val="1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15"/>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13"/>
  </w:num>
  <w:num w:numId="22">
    <w:abstractNumId w:val="23"/>
  </w:num>
  <w:num w:numId="23">
    <w:abstractNumId w:val="19"/>
  </w:num>
  <w:num w:numId="24">
    <w:abstractNumId w:val="22"/>
  </w:num>
  <w:num w:numId="25">
    <w:abstractNumId w:val="11"/>
  </w:num>
  <w:num w:numId="26">
    <w:abstractNumId w:val="25"/>
  </w:num>
  <w:num w:numId="27">
    <w:abstractNumId w:val="28"/>
  </w:num>
  <w:num w:numId="28">
    <w:abstractNumId w:val="10"/>
  </w:num>
  <w:num w:numId="29">
    <w:abstractNumId w:val="17"/>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D47"/>
    <w:rsid w:val="0000359F"/>
    <w:rsid w:val="00003698"/>
    <w:rsid w:val="00006069"/>
    <w:rsid w:val="00006D9E"/>
    <w:rsid w:val="0001010C"/>
    <w:rsid w:val="0002192F"/>
    <w:rsid w:val="00027265"/>
    <w:rsid w:val="000304D0"/>
    <w:rsid w:val="00030D23"/>
    <w:rsid w:val="00031816"/>
    <w:rsid w:val="00031B93"/>
    <w:rsid w:val="00034316"/>
    <w:rsid w:val="00044965"/>
    <w:rsid w:val="000466B5"/>
    <w:rsid w:val="00052904"/>
    <w:rsid w:val="000542C7"/>
    <w:rsid w:val="0006061B"/>
    <w:rsid w:val="00064A3D"/>
    <w:rsid w:val="00072228"/>
    <w:rsid w:val="00076C61"/>
    <w:rsid w:val="00085FDC"/>
    <w:rsid w:val="00086AC2"/>
    <w:rsid w:val="00092C7D"/>
    <w:rsid w:val="000B150C"/>
    <w:rsid w:val="000B3A6C"/>
    <w:rsid w:val="000C16BF"/>
    <w:rsid w:val="000C2B04"/>
    <w:rsid w:val="000C4C2D"/>
    <w:rsid w:val="000C6255"/>
    <w:rsid w:val="000C6D47"/>
    <w:rsid w:val="000C752D"/>
    <w:rsid w:val="000C7BAE"/>
    <w:rsid w:val="000C7D64"/>
    <w:rsid w:val="000D20E5"/>
    <w:rsid w:val="000D4FD4"/>
    <w:rsid w:val="000D547C"/>
    <w:rsid w:val="00104540"/>
    <w:rsid w:val="00104943"/>
    <w:rsid w:val="001168FE"/>
    <w:rsid w:val="001174E2"/>
    <w:rsid w:val="00120787"/>
    <w:rsid w:val="00121648"/>
    <w:rsid w:val="001243AA"/>
    <w:rsid w:val="001363C3"/>
    <w:rsid w:val="00141540"/>
    <w:rsid w:val="00141686"/>
    <w:rsid w:val="00151B95"/>
    <w:rsid w:val="00152864"/>
    <w:rsid w:val="00155CDF"/>
    <w:rsid w:val="00161F43"/>
    <w:rsid w:val="001635A8"/>
    <w:rsid w:val="001676D5"/>
    <w:rsid w:val="001731B4"/>
    <w:rsid w:val="00174809"/>
    <w:rsid w:val="0017493C"/>
    <w:rsid w:val="001A2EBA"/>
    <w:rsid w:val="001B5A4A"/>
    <w:rsid w:val="001B5AA4"/>
    <w:rsid w:val="001B6957"/>
    <w:rsid w:val="001C2A65"/>
    <w:rsid w:val="001C571F"/>
    <w:rsid w:val="001C710A"/>
    <w:rsid w:val="001E09C3"/>
    <w:rsid w:val="001E2EF9"/>
    <w:rsid w:val="001E539E"/>
    <w:rsid w:val="001F1E3E"/>
    <w:rsid w:val="001F2BF3"/>
    <w:rsid w:val="001F5676"/>
    <w:rsid w:val="001F6324"/>
    <w:rsid w:val="001F735C"/>
    <w:rsid w:val="002007B4"/>
    <w:rsid w:val="002018FD"/>
    <w:rsid w:val="00204496"/>
    <w:rsid w:val="00205699"/>
    <w:rsid w:val="00211600"/>
    <w:rsid w:val="00211694"/>
    <w:rsid w:val="00217A2E"/>
    <w:rsid w:val="00221D40"/>
    <w:rsid w:val="00224E1F"/>
    <w:rsid w:val="00235D14"/>
    <w:rsid w:val="00242E45"/>
    <w:rsid w:val="00245A26"/>
    <w:rsid w:val="002521DD"/>
    <w:rsid w:val="00252BC9"/>
    <w:rsid w:val="00264AE9"/>
    <w:rsid w:val="00265EF1"/>
    <w:rsid w:val="00266567"/>
    <w:rsid w:val="00276C73"/>
    <w:rsid w:val="0028636B"/>
    <w:rsid w:val="00294C10"/>
    <w:rsid w:val="00296BF0"/>
    <w:rsid w:val="002A0FC9"/>
    <w:rsid w:val="002A29CF"/>
    <w:rsid w:val="002C3D14"/>
    <w:rsid w:val="002D2DD0"/>
    <w:rsid w:val="002E447E"/>
    <w:rsid w:val="002E486D"/>
    <w:rsid w:val="002E5921"/>
    <w:rsid w:val="002E6A9A"/>
    <w:rsid w:val="002E7B08"/>
    <w:rsid w:val="002E7ED0"/>
    <w:rsid w:val="002F08EC"/>
    <w:rsid w:val="002F126C"/>
    <w:rsid w:val="002F5700"/>
    <w:rsid w:val="002F5E98"/>
    <w:rsid w:val="002F7868"/>
    <w:rsid w:val="00300293"/>
    <w:rsid w:val="00321288"/>
    <w:rsid w:val="00323FF8"/>
    <w:rsid w:val="00330F09"/>
    <w:rsid w:val="003310B1"/>
    <w:rsid w:val="0034380B"/>
    <w:rsid w:val="00347F88"/>
    <w:rsid w:val="00351F4F"/>
    <w:rsid w:val="00352FEE"/>
    <w:rsid w:val="0035417C"/>
    <w:rsid w:val="003603F4"/>
    <w:rsid w:val="003613B7"/>
    <w:rsid w:val="0036505E"/>
    <w:rsid w:val="00365239"/>
    <w:rsid w:val="00365838"/>
    <w:rsid w:val="00372679"/>
    <w:rsid w:val="00373562"/>
    <w:rsid w:val="00373A1E"/>
    <w:rsid w:val="00373E22"/>
    <w:rsid w:val="00375486"/>
    <w:rsid w:val="003909AE"/>
    <w:rsid w:val="00391192"/>
    <w:rsid w:val="0039149F"/>
    <w:rsid w:val="003927AA"/>
    <w:rsid w:val="0039329F"/>
    <w:rsid w:val="00395FBE"/>
    <w:rsid w:val="003A06D1"/>
    <w:rsid w:val="003B38E2"/>
    <w:rsid w:val="003B77E0"/>
    <w:rsid w:val="003C7FD7"/>
    <w:rsid w:val="003D0022"/>
    <w:rsid w:val="003D6372"/>
    <w:rsid w:val="003E1E12"/>
    <w:rsid w:val="003F1153"/>
    <w:rsid w:val="003F2D47"/>
    <w:rsid w:val="003F7F53"/>
    <w:rsid w:val="00400312"/>
    <w:rsid w:val="00400D0F"/>
    <w:rsid w:val="0040268E"/>
    <w:rsid w:val="00404BB9"/>
    <w:rsid w:val="00422689"/>
    <w:rsid w:val="004263C7"/>
    <w:rsid w:val="00430B3B"/>
    <w:rsid w:val="00441331"/>
    <w:rsid w:val="00450CBA"/>
    <w:rsid w:val="00450F9D"/>
    <w:rsid w:val="00452D3A"/>
    <w:rsid w:val="00452E49"/>
    <w:rsid w:val="00454650"/>
    <w:rsid w:val="00472024"/>
    <w:rsid w:val="00482A0D"/>
    <w:rsid w:val="00485A6F"/>
    <w:rsid w:val="00485E6E"/>
    <w:rsid w:val="00487175"/>
    <w:rsid w:val="00493B64"/>
    <w:rsid w:val="004A04D0"/>
    <w:rsid w:val="004A2DAD"/>
    <w:rsid w:val="004B6305"/>
    <w:rsid w:val="004B799E"/>
    <w:rsid w:val="004C13D1"/>
    <w:rsid w:val="004C4BCB"/>
    <w:rsid w:val="004D1EEB"/>
    <w:rsid w:val="004D4D50"/>
    <w:rsid w:val="004E3092"/>
    <w:rsid w:val="004E43A2"/>
    <w:rsid w:val="004F24AF"/>
    <w:rsid w:val="004F5221"/>
    <w:rsid w:val="00500443"/>
    <w:rsid w:val="00505B4A"/>
    <w:rsid w:val="005322F1"/>
    <w:rsid w:val="00533003"/>
    <w:rsid w:val="00550C29"/>
    <w:rsid w:val="00554535"/>
    <w:rsid w:val="00555B59"/>
    <w:rsid w:val="00556374"/>
    <w:rsid w:val="00556725"/>
    <w:rsid w:val="00557C2A"/>
    <w:rsid w:val="00563668"/>
    <w:rsid w:val="00574F68"/>
    <w:rsid w:val="00584ABD"/>
    <w:rsid w:val="00584B19"/>
    <w:rsid w:val="005857A5"/>
    <w:rsid w:val="005A181D"/>
    <w:rsid w:val="005A36EB"/>
    <w:rsid w:val="005A380C"/>
    <w:rsid w:val="005B075F"/>
    <w:rsid w:val="005B5E72"/>
    <w:rsid w:val="005C002C"/>
    <w:rsid w:val="005C73F4"/>
    <w:rsid w:val="005D0BB4"/>
    <w:rsid w:val="005D29D0"/>
    <w:rsid w:val="005D7F5F"/>
    <w:rsid w:val="005E4DF7"/>
    <w:rsid w:val="005F3042"/>
    <w:rsid w:val="005F42A0"/>
    <w:rsid w:val="005F7502"/>
    <w:rsid w:val="0060766F"/>
    <w:rsid w:val="0061222C"/>
    <w:rsid w:val="00612A0F"/>
    <w:rsid w:val="00613B73"/>
    <w:rsid w:val="00614FB6"/>
    <w:rsid w:val="00615FC5"/>
    <w:rsid w:val="00621CEB"/>
    <w:rsid w:val="00622EE7"/>
    <w:rsid w:val="00632334"/>
    <w:rsid w:val="006329CB"/>
    <w:rsid w:val="006330BE"/>
    <w:rsid w:val="006339C3"/>
    <w:rsid w:val="00634A9E"/>
    <w:rsid w:val="0064388B"/>
    <w:rsid w:val="00645DA0"/>
    <w:rsid w:val="006477F6"/>
    <w:rsid w:val="00652169"/>
    <w:rsid w:val="00652649"/>
    <w:rsid w:val="006607A2"/>
    <w:rsid w:val="006723C1"/>
    <w:rsid w:val="0067396A"/>
    <w:rsid w:val="00673DCA"/>
    <w:rsid w:val="00675C9C"/>
    <w:rsid w:val="00677A98"/>
    <w:rsid w:val="006838B1"/>
    <w:rsid w:val="0069208E"/>
    <w:rsid w:val="00692D5B"/>
    <w:rsid w:val="00692F73"/>
    <w:rsid w:val="00695EF1"/>
    <w:rsid w:val="006A1AE8"/>
    <w:rsid w:val="006C4410"/>
    <w:rsid w:val="006C4F37"/>
    <w:rsid w:val="006D0445"/>
    <w:rsid w:val="006D4F15"/>
    <w:rsid w:val="006E1CD2"/>
    <w:rsid w:val="006E2C3C"/>
    <w:rsid w:val="006E3C44"/>
    <w:rsid w:val="006F00F9"/>
    <w:rsid w:val="00705840"/>
    <w:rsid w:val="0071001E"/>
    <w:rsid w:val="00710A94"/>
    <w:rsid w:val="00713E3C"/>
    <w:rsid w:val="007203AC"/>
    <w:rsid w:val="007303B2"/>
    <w:rsid w:val="00733BF5"/>
    <w:rsid w:val="00735243"/>
    <w:rsid w:val="00735507"/>
    <w:rsid w:val="00736B17"/>
    <w:rsid w:val="0073746D"/>
    <w:rsid w:val="0074245A"/>
    <w:rsid w:val="00745AE5"/>
    <w:rsid w:val="00750291"/>
    <w:rsid w:val="00752D86"/>
    <w:rsid w:val="00753420"/>
    <w:rsid w:val="00753E95"/>
    <w:rsid w:val="00764208"/>
    <w:rsid w:val="00765A32"/>
    <w:rsid w:val="007663EB"/>
    <w:rsid w:val="007761A3"/>
    <w:rsid w:val="007861EE"/>
    <w:rsid w:val="007A01B6"/>
    <w:rsid w:val="007A2154"/>
    <w:rsid w:val="007A6986"/>
    <w:rsid w:val="007B5AC1"/>
    <w:rsid w:val="007B6E9C"/>
    <w:rsid w:val="007B6FCD"/>
    <w:rsid w:val="007D008C"/>
    <w:rsid w:val="007D674F"/>
    <w:rsid w:val="007E4BB5"/>
    <w:rsid w:val="007F09B6"/>
    <w:rsid w:val="007F5582"/>
    <w:rsid w:val="007F58FF"/>
    <w:rsid w:val="00801D32"/>
    <w:rsid w:val="00802F73"/>
    <w:rsid w:val="00805C0C"/>
    <w:rsid w:val="008065CC"/>
    <w:rsid w:val="00822565"/>
    <w:rsid w:val="00824DF5"/>
    <w:rsid w:val="00830C13"/>
    <w:rsid w:val="00831927"/>
    <w:rsid w:val="008412CB"/>
    <w:rsid w:val="008458B1"/>
    <w:rsid w:val="008465A2"/>
    <w:rsid w:val="00846C66"/>
    <w:rsid w:val="008534DA"/>
    <w:rsid w:val="00862665"/>
    <w:rsid w:val="0087094A"/>
    <w:rsid w:val="00872AF1"/>
    <w:rsid w:val="00875DD0"/>
    <w:rsid w:val="008773D7"/>
    <w:rsid w:val="008909EA"/>
    <w:rsid w:val="008970DF"/>
    <w:rsid w:val="008B44C2"/>
    <w:rsid w:val="008B5C39"/>
    <w:rsid w:val="008D0CFC"/>
    <w:rsid w:val="008D139D"/>
    <w:rsid w:val="008D36C6"/>
    <w:rsid w:val="008D3819"/>
    <w:rsid w:val="008D5CF9"/>
    <w:rsid w:val="008D6FBF"/>
    <w:rsid w:val="008E77AB"/>
    <w:rsid w:val="008F3BBD"/>
    <w:rsid w:val="008F4EFA"/>
    <w:rsid w:val="008F6C86"/>
    <w:rsid w:val="008F6FD2"/>
    <w:rsid w:val="009013B0"/>
    <w:rsid w:val="00901A26"/>
    <w:rsid w:val="00904022"/>
    <w:rsid w:val="0091219C"/>
    <w:rsid w:val="00916062"/>
    <w:rsid w:val="00925471"/>
    <w:rsid w:val="009263A5"/>
    <w:rsid w:val="009428AB"/>
    <w:rsid w:val="0094316A"/>
    <w:rsid w:val="00947CA1"/>
    <w:rsid w:val="009569B4"/>
    <w:rsid w:val="009601BA"/>
    <w:rsid w:val="009640FF"/>
    <w:rsid w:val="00966AB4"/>
    <w:rsid w:val="00967ECC"/>
    <w:rsid w:val="0097633F"/>
    <w:rsid w:val="009764C1"/>
    <w:rsid w:val="00977D01"/>
    <w:rsid w:val="0098305D"/>
    <w:rsid w:val="009874D6"/>
    <w:rsid w:val="00991CC1"/>
    <w:rsid w:val="009A122A"/>
    <w:rsid w:val="009A28A4"/>
    <w:rsid w:val="009A5C6A"/>
    <w:rsid w:val="009B1B74"/>
    <w:rsid w:val="009B308D"/>
    <w:rsid w:val="009B4683"/>
    <w:rsid w:val="009B48E8"/>
    <w:rsid w:val="009B5CCB"/>
    <w:rsid w:val="009C1EC1"/>
    <w:rsid w:val="009C451E"/>
    <w:rsid w:val="009C58E2"/>
    <w:rsid w:val="009D07D7"/>
    <w:rsid w:val="009D280D"/>
    <w:rsid w:val="009D313F"/>
    <w:rsid w:val="009D4CBD"/>
    <w:rsid w:val="009F3B6F"/>
    <w:rsid w:val="009F595A"/>
    <w:rsid w:val="00A01B45"/>
    <w:rsid w:val="00A269A1"/>
    <w:rsid w:val="00A30256"/>
    <w:rsid w:val="00A3387C"/>
    <w:rsid w:val="00A34D9E"/>
    <w:rsid w:val="00A402C8"/>
    <w:rsid w:val="00A43E1F"/>
    <w:rsid w:val="00A44A64"/>
    <w:rsid w:val="00A44FE5"/>
    <w:rsid w:val="00A45212"/>
    <w:rsid w:val="00A46B54"/>
    <w:rsid w:val="00A47AE1"/>
    <w:rsid w:val="00A53BA9"/>
    <w:rsid w:val="00A6115B"/>
    <w:rsid w:val="00A6169E"/>
    <w:rsid w:val="00A634BB"/>
    <w:rsid w:val="00A64223"/>
    <w:rsid w:val="00A65F7D"/>
    <w:rsid w:val="00A67D81"/>
    <w:rsid w:val="00A712C2"/>
    <w:rsid w:val="00A71DC3"/>
    <w:rsid w:val="00A72E2D"/>
    <w:rsid w:val="00A7724C"/>
    <w:rsid w:val="00A83CBA"/>
    <w:rsid w:val="00A87EFC"/>
    <w:rsid w:val="00A92DB6"/>
    <w:rsid w:val="00A95292"/>
    <w:rsid w:val="00AA2655"/>
    <w:rsid w:val="00AA2F4F"/>
    <w:rsid w:val="00AB2663"/>
    <w:rsid w:val="00AB26C0"/>
    <w:rsid w:val="00AB7569"/>
    <w:rsid w:val="00AC0C65"/>
    <w:rsid w:val="00AC363F"/>
    <w:rsid w:val="00AC4D6B"/>
    <w:rsid w:val="00AC757C"/>
    <w:rsid w:val="00AD6562"/>
    <w:rsid w:val="00AE1F73"/>
    <w:rsid w:val="00AE3643"/>
    <w:rsid w:val="00AE4B07"/>
    <w:rsid w:val="00AF1EAE"/>
    <w:rsid w:val="00AF4C39"/>
    <w:rsid w:val="00B05948"/>
    <w:rsid w:val="00B06646"/>
    <w:rsid w:val="00B13A36"/>
    <w:rsid w:val="00B157CC"/>
    <w:rsid w:val="00B15F1B"/>
    <w:rsid w:val="00B166EE"/>
    <w:rsid w:val="00B20296"/>
    <w:rsid w:val="00B27017"/>
    <w:rsid w:val="00B27AA5"/>
    <w:rsid w:val="00B334D9"/>
    <w:rsid w:val="00B433AB"/>
    <w:rsid w:val="00B45E66"/>
    <w:rsid w:val="00B5685F"/>
    <w:rsid w:val="00B56C4B"/>
    <w:rsid w:val="00B60B01"/>
    <w:rsid w:val="00B63E9E"/>
    <w:rsid w:val="00B66500"/>
    <w:rsid w:val="00B67EA1"/>
    <w:rsid w:val="00B708B6"/>
    <w:rsid w:val="00B71F8D"/>
    <w:rsid w:val="00B72AB7"/>
    <w:rsid w:val="00B771B5"/>
    <w:rsid w:val="00B84D4E"/>
    <w:rsid w:val="00B8729B"/>
    <w:rsid w:val="00B8765E"/>
    <w:rsid w:val="00B9598B"/>
    <w:rsid w:val="00B95DC9"/>
    <w:rsid w:val="00B96AA6"/>
    <w:rsid w:val="00B97CBD"/>
    <w:rsid w:val="00BA126D"/>
    <w:rsid w:val="00BC0E87"/>
    <w:rsid w:val="00BD4022"/>
    <w:rsid w:val="00BD6989"/>
    <w:rsid w:val="00BE66DC"/>
    <w:rsid w:val="00C0061E"/>
    <w:rsid w:val="00C018EF"/>
    <w:rsid w:val="00C06261"/>
    <w:rsid w:val="00C10E2C"/>
    <w:rsid w:val="00C119F6"/>
    <w:rsid w:val="00C11FD3"/>
    <w:rsid w:val="00C27A47"/>
    <w:rsid w:val="00C317AB"/>
    <w:rsid w:val="00C41DAD"/>
    <w:rsid w:val="00C46EA3"/>
    <w:rsid w:val="00C50C6A"/>
    <w:rsid w:val="00C52C09"/>
    <w:rsid w:val="00C54B9B"/>
    <w:rsid w:val="00C56DA5"/>
    <w:rsid w:val="00C57354"/>
    <w:rsid w:val="00C6305E"/>
    <w:rsid w:val="00C65D30"/>
    <w:rsid w:val="00C70304"/>
    <w:rsid w:val="00C718EC"/>
    <w:rsid w:val="00C77BA1"/>
    <w:rsid w:val="00C803DC"/>
    <w:rsid w:val="00C938A8"/>
    <w:rsid w:val="00CA1DB2"/>
    <w:rsid w:val="00CB22C9"/>
    <w:rsid w:val="00CB2612"/>
    <w:rsid w:val="00CB68E8"/>
    <w:rsid w:val="00CB7CAF"/>
    <w:rsid w:val="00CC075F"/>
    <w:rsid w:val="00CC1245"/>
    <w:rsid w:val="00CE3B8D"/>
    <w:rsid w:val="00CE6F7C"/>
    <w:rsid w:val="00CF11BC"/>
    <w:rsid w:val="00CF3CC4"/>
    <w:rsid w:val="00CF401E"/>
    <w:rsid w:val="00CF4B75"/>
    <w:rsid w:val="00CF5080"/>
    <w:rsid w:val="00CF699B"/>
    <w:rsid w:val="00D028CF"/>
    <w:rsid w:val="00D06A3B"/>
    <w:rsid w:val="00D0723D"/>
    <w:rsid w:val="00D10239"/>
    <w:rsid w:val="00D11033"/>
    <w:rsid w:val="00D11A19"/>
    <w:rsid w:val="00D20442"/>
    <w:rsid w:val="00D2084C"/>
    <w:rsid w:val="00D21B3C"/>
    <w:rsid w:val="00D3302C"/>
    <w:rsid w:val="00D34B54"/>
    <w:rsid w:val="00D36206"/>
    <w:rsid w:val="00D36353"/>
    <w:rsid w:val="00D46A0E"/>
    <w:rsid w:val="00D504DF"/>
    <w:rsid w:val="00D57A17"/>
    <w:rsid w:val="00D652AF"/>
    <w:rsid w:val="00D7060B"/>
    <w:rsid w:val="00D74DFA"/>
    <w:rsid w:val="00D76153"/>
    <w:rsid w:val="00D80524"/>
    <w:rsid w:val="00D91218"/>
    <w:rsid w:val="00D94821"/>
    <w:rsid w:val="00DA11A0"/>
    <w:rsid w:val="00DA2754"/>
    <w:rsid w:val="00DA4A5B"/>
    <w:rsid w:val="00DB589F"/>
    <w:rsid w:val="00DB74D6"/>
    <w:rsid w:val="00DB7518"/>
    <w:rsid w:val="00DC3331"/>
    <w:rsid w:val="00DD00CA"/>
    <w:rsid w:val="00DD306B"/>
    <w:rsid w:val="00DD735A"/>
    <w:rsid w:val="00DE0410"/>
    <w:rsid w:val="00DE72E3"/>
    <w:rsid w:val="00DF0772"/>
    <w:rsid w:val="00DF0824"/>
    <w:rsid w:val="00DF1827"/>
    <w:rsid w:val="00DF35A8"/>
    <w:rsid w:val="00DF7DC9"/>
    <w:rsid w:val="00E0180C"/>
    <w:rsid w:val="00E01C97"/>
    <w:rsid w:val="00E01DC4"/>
    <w:rsid w:val="00E04776"/>
    <w:rsid w:val="00E13039"/>
    <w:rsid w:val="00E13737"/>
    <w:rsid w:val="00E153B5"/>
    <w:rsid w:val="00E16529"/>
    <w:rsid w:val="00E167CF"/>
    <w:rsid w:val="00E20C60"/>
    <w:rsid w:val="00E25FFA"/>
    <w:rsid w:val="00E2794F"/>
    <w:rsid w:val="00E31925"/>
    <w:rsid w:val="00E33263"/>
    <w:rsid w:val="00E4168F"/>
    <w:rsid w:val="00E47F69"/>
    <w:rsid w:val="00E60A1C"/>
    <w:rsid w:val="00E64838"/>
    <w:rsid w:val="00E82AA9"/>
    <w:rsid w:val="00E84DA3"/>
    <w:rsid w:val="00E86C30"/>
    <w:rsid w:val="00E91ACF"/>
    <w:rsid w:val="00EA39E3"/>
    <w:rsid w:val="00EB0160"/>
    <w:rsid w:val="00EB146B"/>
    <w:rsid w:val="00EB7977"/>
    <w:rsid w:val="00EC076A"/>
    <w:rsid w:val="00EC5846"/>
    <w:rsid w:val="00EC6399"/>
    <w:rsid w:val="00EC7949"/>
    <w:rsid w:val="00ED379F"/>
    <w:rsid w:val="00ED5570"/>
    <w:rsid w:val="00EE0768"/>
    <w:rsid w:val="00EE74E1"/>
    <w:rsid w:val="00EF0DE9"/>
    <w:rsid w:val="00EF5525"/>
    <w:rsid w:val="00F00DB3"/>
    <w:rsid w:val="00F00FB2"/>
    <w:rsid w:val="00F0517D"/>
    <w:rsid w:val="00F118E9"/>
    <w:rsid w:val="00F12109"/>
    <w:rsid w:val="00F121D2"/>
    <w:rsid w:val="00F140AB"/>
    <w:rsid w:val="00F164BD"/>
    <w:rsid w:val="00F22CC4"/>
    <w:rsid w:val="00F22FCA"/>
    <w:rsid w:val="00F25FBE"/>
    <w:rsid w:val="00F33225"/>
    <w:rsid w:val="00F366DA"/>
    <w:rsid w:val="00F42780"/>
    <w:rsid w:val="00F5335F"/>
    <w:rsid w:val="00F55749"/>
    <w:rsid w:val="00F57935"/>
    <w:rsid w:val="00F71880"/>
    <w:rsid w:val="00F7199A"/>
    <w:rsid w:val="00F72852"/>
    <w:rsid w:val="00F85C84"/>
    <w:rsid w:val="00F9058C"/>
    <w:rsid w:val="00F9232D"/>
    <w:rsid w:val="00F967D2"/>
    <w:rsid w:val="00F96CE7"/>
    <w:rsid w:val="00F975C6"/>
    <w:rsid w:val="00F97EDC"/>
    <w:rsid w:val="00FA4DF2"/>
    <w:rsid w:val="00FA5853"/>
    <w:rsid w:val="00FA5C40"/>
    <w:rsid w:val="00FA78DA"/>
    <w:rsid w:val="00FB00D3"/>
    <w:rsid w:val="00FC039D"/>
    <w:rsid w:val="00FC320D"/>
    <w:rsid w:val="00FC38D4"/>
    <w:rsid w:val="00FC6DED"/>
    <w:rsid w:val="00FD1670"/>
    <w:rsid w:val="00FD6790"/>
    <w:rsid w:val="00FE1E83"/>
    <w:rsid w:val="00FF1D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5:docId w15:val="{52573AC0-9E96-4B33-9F84-C5581AA5D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58C"/>
    <w:pPr>
      <w:spacing w:after="200" w:line="276" w:lineRule="auto"/>
    </w:pPr>
    <w:rPr>
      <w:sz w:val="22"/>
      <w:szCs w:val="22"/>
    </w:rPr>
  </w:style>
  <w:style w:type="paragraph" w:styleId="Heading1">
    <w:name w:val="heading 1"/>
    <w:basedOn w:val="Normal"/>
    <w:next w:val="Normal"/>
    <w:link w:val="Heading1Char"/>
    <w:qFormat/>
    <w:rsid w:val="00AB26C0"/>
    <w:pPr>
      <w:keepNext/>
      <w:bidi/>
      <w:spacing w:after="0" w:line="240" w:lineRule="auto"/>
      <w:outlineLvl w:val="0"/>
    </w:pPr>
    <w:rPr>
      <w:rFonts w:ascii="Times New Roman" w:eastAsia="Times New Roman" w:hAnsi="Times New Roman" w:cs="Angsana New"/>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505E"/>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05E"/>
  </w:style>
  <w:style w:type="paragraph" w:styleId="Footer">
    <w:name w:val="footer"/>
    <w:basedOn w:val="Normal"/>
    <w:link w:val="FooterChar"/>
    <w:uiPriority w:val="99"/>
    <w:unhideWhenUsed/>
    <w:rsid w:val="0036505E"/>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05E"/>
  </w:style>
  <w:style w:type="paragraph" w:styleId="BalloonText">
    <w:name w:val="Balloon Text"/>
    <w:basedOn w:val="Normal"/>
    <w:link w:val="BalloonTextChar"/>
    <w:uiPriority w:val="99"/>
    <w:semiHidden/>
    <w:unhideWhenUsed/>
    <w:rsid w:val="003650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05E"/>
    <w:rPr>
      <w:rFonts w:ascii="Tahoma" w:hAnsi="Tahoma" w:cs="Tahoma"/>
      <w:sz w:val="16"/>
      <w:szCs w:val="16"/>
    </w:rPr>
  </w:style>
  <w:style w:type="character" w:styleId="Hyperlink">
    <w:name w:val="Hyperlink"/>
    <w:basedOn w:val="DefaultParagraphFont"/>
    <w:uiPriority w:val="99"/>
    <w:unhideWhenUsed/>
    <w:rsid w:val="00F85C84"/>
    <w:rPr>
      <w:color w:val="0000FF"/>
      <w:u w:val="single"/>
    </w:rPr>
  </w:style>
  <w:style w:type="character" w:customStyle="1" w:styleId="Heading1Char">
    <w:name w:val="Heading 1 Char"/>
    <w:basedOn w:val="DefaultParagraphFont"/>
    <w:link w:val="Heading1"/>
    <w:rsid w:val="00AB26C0"/>
    <w:rPr>
      <w:rFonts w:ascii="Times New Roman" w:eastAsia="Times New Roman" w:hAnsi="Times New Roman" w:cs="Angsana New"/>
      <w:sz w:val="28"/>
      <w:szCs w:val="28"/>
      <w:lang w:eastAsia="ar-SA"/>
    </w:rPr>
  </w:style>
  <w:style w:type="paragraph" w:customStyle="1" w:styleId="ListParagraph1">
    <w:name w:val="List Paragraph1"/>
    <w:basedOn w:val="Normal"/>
    <w:uiPriority w:val="34"/>
    <w:qFormat/>
    <w:rsid w:val="00AB26C0"/>
    <w:pPr>
      <w:bidi/>
      <w:ind w:left="720"/>
      <w:contextualSpacing/>
    </w:pPr>
  </w:style>
  <w:style w:type="paragraph" w:styleId="ListParagraph">
    <w:name w:val="List Paragraph"/>
    <w:basedOn w:val="Normal"/>
    <w:uiPriority w:val="34"/>
    <w:qFormat/>
    <w:rsid w:val="008F3BBD"/>
    <w:pPr>
      <w:ind w:left="720"/>
    </w:pPr>
  </w:style>
  <w:style w:type="table" w:styleId="TableGrid">
    <w:name w:val="Table Grid"/>
    <w:basedOn w:val="TableNormal"/>
    <w:uiPriority w:val="59"/>
    <w:rsid w:val="00B97C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167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15062">
      <w:bodyDiv w:val="1"/>
      <w:marLeft w:val="0"/>
      <w:marRight w:val="0"/>
      <w:marTop w:val="0"/>
      <w:marBottom w:val="0"/>
      <w:divBdr>
        <w:top w:val="none" w:sz="0" w:space="0" w:color="auto"/>
        <w:left w:val="none" w:sz="0" w:space="0" w:color="auto"/>
        <w:bottom w:val="none" w:sz="0" w:space="0" w:color="auto"/>
        <w:right w:val="none" w:sz="0" w:space="0" w:color="auto"/>
      </w:divBdr>
    </w:div>
    <w:div w:id="344094504">
      <w:bodyDiv w:val="1"/>
      <w:marLeft w:val="0"/>
      <w:marRight w:val="0"/>
      <w:marTop w:val="0"/>
      <w:marBottom w:val="0"/>
      <w:divBdr>
        <w:top w:val="none" w:sz="0" w:space="0" w:color="auto"/>
        <w:left w:val="none" w:sz="0" w:space="0" w:color="auto"/>
        <w:bottom w:val="none" w:sz="0" w:space="0" w:color="auto"/>
        <w:right w:val="none" w:sz="0" w:space="0" w:color="auto"/>
      </w:divBdr>
      <w:divsChild>
        <w:div w:id="513347932">
          <w:marLeft w:val="0"/>
          <w:marRight w:val="0"/>
          <w:marTop w:val="0"/>
          <w:marBottom w:val="0"/>
          <w:divBdr>
            <w:top w:val="none" w:sz="0" w:space="0" w:color="auto"/>
            <w:left w:val="none" w:sz="0" w:space="0" w:color="auto"/>
            <w:bottom w:val="none" w:sz="0" w:space="0" w:color="auto"/>
            <w:right w:val="none" w:sz="0" w:space="0" w:color="auto"/>
          </w:divBdr>
          <w:divsChild>
            <w:div w:id="1013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932128">
      <w:bodyDiv w:val="1"/>
      <w:marLeft w:val="0"/>
      <w:marRight w:val="0"/>
      <w:marTop w:val="0"/>
      <w:marBottom w:val="0"/>
      <w:divBdr>
        <w:top w:val="none" w:sz="0" w:space="0" w:color="auto"/>
        <w:left w:val="none" w:sz="0" w:space="0" w:color="auto"/>
        <w:bottom w:val="none" w:sz="0" w:space="0" w:color="auto"/>
        <w:right w:val="none" w:sz="0" w:space="0" w:color="auto"/>
      </w:divBdr>
    </w:div>
    <w:div w:id="603851164">
      <w:bodyDiv w:val="1"/>
      <w:marLeft w:val="0"/>
      <w:marRight w:val="0"/>
      <w:marTop w:val="0"/>
      <w:marBottom w:val="0"/>
      <w:divBdr>
        <w:top w:val="none" w:sz="0" w:space="0" w:color="auto"/>
        <w:left w:val="none" w:sz="0" w:space="0" w:color="auto"/>
        <w:bottom w:val="none" w:sz="0" w:space="0" w:color="auto"/>
        <w:right w:val="none" w:sz="0" w:space="0" w:color="auto"/>
      </w:divBdr>
      <w:divsChild>
        <w:div w:id="601838005">
          <w:marLeft w:val="0"/>
          <w:marRight w:val="0"/>
          <w:marTop w:val="0"/>
          <w:marBottom w:val="0"/>
          <w:divBdr>
            <w:top w:val="none" w:sz="0" w:space="0" w:color="auto"/>
            <w:left w:val="none" w:sz="0" w:space="0" w:color="auto"/>
            <w:bottom w:val="none" w:sz="0" w:space="0" w:color="auto"/>
            <w:right w:val="none" w:sz="0" w:space="0" w:color="auto"/>
          </w:divBdr>
          <w:divsChild>
            <w:div w:id="164477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044645">
      <w:bodyDiv w:val="1"/>
      <w:marLeft w:val="0"/>
      <w:marRight w:val="0"/>
      <w:marTop w:val="0"/>
      <w:marBottom w:val="0"/>
      <w:divBdr>
        <w:top w:val="none" w:sz="0" w:space="0" w:color="auto"/>
        <w:left w:val="none" w:sz="0" w:space="0" w:color="auto"/>
        <w:bottom w:val="none" w:sz="0" w:space="0" w:color="auto"/>
        <w:right w:val="none" w:sz="0" w:space="0" w:color="auto"/>
      </w:divBdr>
      <w:divsChild>
        <w:div w:id="1636713281">
          <w:marLeft w:val="0"/>
          <w:marRight w:val="0"/>
          <w:marTop w:val="0"/>
          <w:marBottom w:val="0"/>
          <w:divBdr>
            <w:top w:val="none" w:sz="0" w:space="0" w:color="auto"/>
            <w:left w:val="none" w:sz="0" w:space="0" w:color="auto"/>
            <w:bottom w:val="none" w:sz="0" w:space="0" w:color="auto"/>
            <w:right w:val="none" w:sz="0" w:space="0" w:color="auto"/>
          </w:divBdr>
          <w:divsChild>
            <w:div w:id="52818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542516">
      <w:bodyDiv w:val="1"/>
      <w:marLeft w:val="0"/>
      <w:marRight w:val="0"/>
      <w:marTop w:val="0"/>
      <w:marBottom w:val="0"/>
      <w:divBdr>
        <w:top w:val="none" w:sz="0" w:space="0" w:color="auto"/>
        <w:left w:val="none" w:sz="0" w:space="0" w:color="auto"/>
        <w:bottom w:val="none" w:sz="0" w:space="0" w:color="auto"/>
        <w:right w:val="none" w:sz="0" w:space="0" w:color="auto"/>
      </w:divBdr>
    </w:div>
    <w:div w:id="889269788">
      <w:bodyDiv w:val="1"/>
      <w:marLeft w:val="0"/>
      <w:marRight w:val="0"/>
      <w:marTop w:val="0"/>
      <w:marBottom w:val="0"/>
      <w:divBdr>
        <w:top w:val="none" w:sz="0" w:space="0" w:color="auto"/>
        <w:left w:val="none" w:sz="0" w:space="0" w:color="auto"/>
        <w:bottom w:val="none" w:sz="0" w:space="0" w:color="auto"/>
        <w:right w:val="none" w:sz="0" w:space="0" w:color="auto"/>
      </w:divBdr>
    </w:div>
    <w:div w:id="938835957">
      <w:bodyDiv w:val="1"/>
      <w:marLeft w:val="0"/>
      <w:marRight w:val="0"/>
      <w:marTop w:val="0"/>
      <w:marBottom w:val="0"/>
      <w:divBdr>
        <w:top w:val="none" w:sz="0" w:space="0" w:color="auto"/>
        <w:left w:val="none" w:sz="0" w:space="0" w:color="auto"/>
        <w:bottom w:val="none" w:sz="0" w:space="0" w:color="auto"/>
        <w:right w:val="none" w:sz="0" w:space="0" w:color="auto"/>
      </w:divBdr>
    </w:div>
    <w:div w:id="949239845">
      <w:bodyDiv w:val="1"/>
      <w:marLeft w:val="0"/>
      <w:marRight w:val="0"/>
      <w:marTop w:val="0"/>
      <w:marBottom w:val="0"/>
      <w:divBdr>
        <w:top w:val="none" w:sz="0" w:space="0" w:color="auto"/>
        <w:left w:val="none" w:sz="0" w:space="0" w:color="auto"/>
        <w:bottom w:val="none" w:sz="0" w:space="0" w:color="auto"/>
        <w:right w:val="none" w:sz="0" w:space="0" w:color="auto"/>
      </w:divBdr>
      <w:divsChild>
        <w:div w:id="1119488512">
          <w:marLeft w:val="0"/>
          <w:marRight w:val="0"/>
          <w:marTop w:val="0"/>
          <w:marBottom w:val="0"/>
          <w:divBdr>
            <w:top w:val="none" w:sz="0" w:space="0" w:color="auto"/>
            <w:left w:val="none" w:sz="0" w:space="0" w:color="auto"/>
            <w:bottom w:val="none" w:sz="0" w:space="0" w:color="auto"/>
            <w:right w:val="none" w:sz="0" w:space="0" w:color="auto"/>
          </w:divBdr>
          <w:divsChild>
            <w:div w:id="2122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4725">
      <w:bodyDiv w:val="1"/>
      <w:marLeft w:val="0"/>
      <w:marRight w:val="0"/>
      <w:marTop w:val="0"/>
      <w:marBottom w:val="0"/>
      <w:divBdr>
        <w:top w:val="none" w:sz="0" w:space="0" w:color="auto"/>
        <w:left w:val="none" w:sz="0" w:space="0" w:color="auto"/>
        <w:bottom w:val="none" w:sz="0" w:space="0" w:color="auto"/>
        <w:right w:val="none" w:sz="0" w:space="0" w:color="auto"/>
      </w:divBdr>
      <w:divsChild>
        <w:div w:id="1571619448">
          <w:marLeft w:val="0"/>
          <w:marRight w:val="0"/>
          <w:marTop w:val="0"/>
          <w:marBottom w:val="0"/>
          <w:divBdr>
            <w:top w:val="none" w:sz="0" w:space="0" w:color="auto"/>
            <w:left w:val="none" w:sz="0" w:space="0" w:color="auto"/>
            <w:bottom w:val="none" w:sz="0" w:space="0" w:color="auto"/>
            <w:right w:val="none" w:sz="0" w:space="0" w:color="auto"/>
          </w:divBdr>
          <w:divsChild>
            <w:div w:id="113340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876031">
      <w:bodyDiv w:val="1"/>
      <w:marLeft w:val="0"/>
      <w:marRight w:val="0"/>
      <w:marTop w:val="0"/>
      <w:marBottom w:val="0"/>
      <w:divBdr>
        <w:top w:val="none" w:sz="0" w:space="0" w:color="auto"/>
        <w:left w:val="none" w:sz="0" w:space="0" w:color="auto"/>
        <w:bottom w:val="none" w:sz="0" w:space="0" w:color="auto"/>
        <w:right w:val="none" w:sz="0" w:space="0" w:color="auto"/>
      </w:divBdr>
    </w:div>
    <w:div w:id="1281913857">
      <w:bodyDiv w:val="1"/>
      <w:marLeft w:val="0"/>
      <w:marRight w:val="0"/>
      <w:marTop w:val="0"/>
      <w:marBottom w:val="0"/>
      <w:divBdr>
        <w:top w:val="none" w:sz="0" w:space="0" w:color="auto"/>
        <w:left w:val="none" w:sz="0" w:space="0" w:color="auto"/>
        <w:bottom w:val="none" w:sz="0" w:space="0" w:color="auto"/>
        <w:right w:val="none" w:sz="0" w:space="0" w:color="auto"/>
      </w:divBdr>
      <w:divsChild>
        <w:div w:id="1971282769">
          <w:marLeft w:val="0"/>
          <w:marRight w:val="0"/>
          <w:marTop w:val="0"/>
          <w:marBottom w:val="0"/>
          <w:divBdr>
            <w:top w:val="none" w:sz="0" w:space="0" w:color="auto"/>
            <w:left w:val="none" w:sz="0" w:space="0" w:color="auto"/>
            <w:bottom w:val="none" w:sz="0" w:space="0" w:color="auto"/>
            <w:right w:val="none" w:sz="0" w:space="0" w:color="auto"/>
          </w:divBdr>
          <w:divsChild>
            <w:div w:id="152131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361032">
      <w:bodyDiv w:val="1"/>
      <w:marLeft w:val="0"/>
      <w:marRight w:val="0"/>
      <w:marTop w:val="0"/>
      <w:marBottom w:val="0"/>
      <w:divBdr>
        <w:top w:val="none" w:sz="0" w:space="0" w:color="auto"/>
        <w:left w:val="none" w:sz="0" w:space="0" w:color="auto"/>
        <w:bottom w:val="none" w:sz="0" w:space="0" w:color="auto"/>
        <w:right w:val="none" w:sz="0" w:space="0" w:color="auto"/>
      </w:divBdr>
    </w:div>
    <w:div w:id="1372027656">
      <w:bodyDiv w:val="1"/>
      <w:marLeft w:val="0"/>
      <w:marRight w:val="0"/>
      <w:marTop w:val="0"/>
      <w:marBottom w:val="0"/>
      <w:divBdr>
        <w:top w:val="none" w:sz="0" w:space="0" w:color="auto"/>
        <w:left w:val="none" w:sz="0" w:space="0" w:color="auto"/>
        <w:bottom w:val="none" w:sz="0" w:space="0" w:color="auto"/>
        <w:right w:val="none" w:sz="0" w:space="0" w:color="auto"/>
      </w:divBdr>
      <w:divsChild>
        <w:div w:id="303236729">
          <w:marLeft w:val="0"/>
          <w:marRight w:val="0"/>
          <w:marTop w:val="0"/>
          <w:marBottom w:val="0"/>
          <w:divBdr>
            <w:top w:val="none" w:sz="0" w:space="0" w:color="auto"/>
            <w:left w:val="none" w:sz="0" w:space="0" w:color="auto"/>
            <w:bottom w:val="none" w:sz="0" w:space="0" w:color="auto"/>
            <w:right w:val="none" w:sz="0" w:space="0" w:color="auto"/>
          </w:divBdr>
          <w:divsChild>
            <w:div w:id="103391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948266">
      <w:bodyDiv w:val="1"/>
      <w:marLeft w:val="0"/>
      <w:marRight w:val="0"/>
      <w:marTop w:val="0"/>
      <w:marBottom w:val="0"/>
      <w:divBdr>
        <w:top w:val="none" w:sz="0" w:space="0" w:color="auto"/>
        <w:left w:val="none" w:sz="0" w:space="0" w:color="auto"/>
        <w:bottom w:val="none" w:sz="0" w:space="0" w:color="auto"/>
        <w:right w:val="none" w:sz="0" w:space="0" w:color="auto"/>
      </w:divBdr>
      <w:divsChild>
        <w:div w:id="476072003">
          <w:marLeft w:val="0"/>
          <w:marRight w:val="0"/>
          <w:marTop w:val="0"/>
          <w:marBottom w:val="0"/>
          <w:divBdr>
            <w:top w:val="none" w:sz="0" w:space="0" w:color="auto"/>
            <w:left w:val="none" w:sz="0" w:space="0" w:color="auto"/>
            <w:bottom w:val="none" w:sz="0" w:space="0" w:color="auto"/>
            <w:right w:val="none" w:sz="0" w:space="0" w:color="auto"/>
          </w:divBdr>
          <w:divsChild>
            <w:div w:id="104741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94471">
      <w:bodyDiv w:val="1"/>
      <w:marLeft w:val="0"/>
      <w:marRight w:val="0"/>
      <w:marTop w:val="0"/>
      <w:marBottom w:val="0"/>
      <w:divBdr>
        <w:top w:val="none" w:sz="0" w:space="0" w:color="auto"/>
        <w:left w:val="none" w:sz="0" w:space="0" w:color="auto"/>
        <w:bottom w:val="none" w:sz="0" w:space="0" w:color="auto"/>
        <w:right w:val="none" w:sz="0" w:space="0" w:color="auto"/>
      </w:divBdr>
    </w:div>
    <w:div w:id="1490365610">
      <w:bodyDiv w:val="1"/>
      <w:marLeft w:val="0"/>
      <w:marRight w:val="0"/>
      <w:marTop w:val="0"/>
      <w:marBottom w:val="0"/>
      <w:divBdr>
        <w:top w:val="none" w:sz="0" w:space="0" w:color="auto"/>
        <w:left w:val="none" w:sz="0" w:space="0" w:color="auto"/>
        <w:bottom w:val="none" w:sz="0" w:space="0" w:color="auto"/>
        <w:right w:val="none" w:sz="0" w:space="0" w:color="auto"/>
      </w:divBdr>
    </w:div>
    <w:div w:id="1525897450">
      <w:bodyDiv w:val="1"/>
      <w:marLeft w:val="0"/>
      <w:marRight w:val="0"/>
      <w:marTop w:val="0"/>
      <w:marBottom w:val="0"/>
      <w:divBdr>
        <w:top w:val="none" w:sz="0" w:space="0" w:color="auto"/>
        <w:left w:val="none" w:sz="0" w:space="0" w:color="auto"/>
        <w:bottom w:val="none" w:sz="0" w:space="0" w:color="auto"/>
        <w:right w:val="none" w:sz="0" w:space="0" w:color="auto"/>
      </w:divBdr>
      <w:divsChild>
        <w:div w:id="37169467">
          <w:marLeft w:val="0"/>
          <w:marRight w:val="0"/>
          <w:marTop w:val="0"/>
          <w:marBottom w:val="0"/>
          <w:divBdr>
            <w:top w:val="none" w:sz="0" w:space="0" w:color="auto"/>
            <w:left w:val="none" w:sz="0" w:space="0" w:color="auto"/>
            <w:bottom w:val="none" w:sz="0" w:space="0" w:color="auto"/>
            <w:right w:val="none" w:sz="0" w:space="0" w:color="auto"/>
          </w:divBdr>
          <w:divsChild>
            <w:div w:id="153815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557652">
      <w:bodyDiv w:val="1"/>
      <w:marLeft w:val="0"/>
      <w:marRight w:val="0"/>
      <w:marTop w:val="0"/>
      <w:marBottom w:val="0"/>
      <w:divBdr>
        <w:top w:val="none" w:sz="0" w:space="0" w:color="auto"/>
        <w:left w:val="none" w:sz="0" w:space="0" w:color="auto"/>
        <w:bottom w:val="none" w:sz="0" w:space="0" w:color="auto"/>
        <w:right w:val="none" w:sz="0" w:space="0" w:color="auto"/>
      </w:divBdr>
      <w:divsChild>
        <w:div w:id="1418331699">
          <w:marLeft w:val="0"/>
          <w:marRight w:val="0"/>
          <w:marTop w:val="0"/>
          <w:marBottom w:val="0"/>
          <w:divBdr>
            <w:top w:val="none" w:sz="0" w:space="0" w:color="auto"/>
            <w:left w:val="none" w:sz="0" w:space="0" w:color="auto"/>
            <w:bottom w:val="none" w:sz="0" w:space="0" w:color="auto"/>
            <w:right w:val="none" w:sz="0" w:space="0" w:color="auto"/>
          </w:divBdr>
          <w:divsChild>
            <w:div w:id="129933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911273">
      <w:bodyDiv w:val="1"/>
      <w:marLeft w:val="0"/>
      <w:marRight w:val="0"/>
      <w:marTop w:val="0"/>
      <w:marBottom w:val="0"/>
      <w:divBdr>
        <w:top w:val="none" w:sz="0" w:space="0" w:color="auto"/>
        <w:left w:val="none" w:sz="0" w:space="0" w:color="auto"/>
        <w:bottom w:val="none" w:sz="0" w:space="0" w:color="auto"/>
        <w:right w:val="none" w:sz="0" w:space="0" w:color="auto"/>
      </w:divBdr>
    </w:div>
    <w:div w:id="1768190759">
      <w:bodyDiv w:val="1"/>
      <w:marLeft w:val="0"/>
      <w:marRight w:val="0"/>
      <w:marTop w:val="0"/>
      <w:marBottom w:val="0"/>
      <w:divBdr>
        <w:top w:val="none" w:sz="0" w:space="0" w:color="auto"/>
        <w:left w:val="none" w:sz="0" w:space="0" w:color="auto"/>
        <w:bottom w:val="none" w:sz="0" w:space="0" w:color="auto"/>
        <w:right w:val="none" w:sz="0" w:space="0" w:color="auto"/>
      </w:divBdr>
    </w:div>
    <w:div w:id="1833334375">
      <w:bodyDiv w:val="1"/>
      <w:marLeft w:val="0"/>
      <w:marRight w:val="0"/>
      <w:marTop w:val="0"/>
      <w:marBottom w:val="0"/>
      <w:divBdr>
        <w:top w:val="none" w:sz="0" w:space="0" w:color="auto"/>
        <w:left w:val="none" w:sz="0" w:space="0" w:color="auto"/>
        <w:bottom w:val="none" w:sz="0" w:space="0" w:color="auto"/>
        <w:right w:val="none" w:sz="0" w:space="0" w:color="auto"/>
      </w:divBdr>
      <w:divsChild>
        <w:div w:id="1864514193">
          <w:marLeft w:val="0"/>
          <w:marRight w:val="0"/>
          <w:marTop w:val="0"/>
          <w:marBottom w:val="0"/>
          <w:divBdr>
            <w:top w:val="none" w:sz="0" w:space="0" w:color="auto"/>
            <w:left w:val="none" w:sz="0" w:space="0" w:color="auto"/>
            <w:bottom w:val="none" w:sz="0" w:space="0" w:color="auto"/>
            <w:right w:val="none" w:sz="0" w:space="0" w:color="auto"/>
          </w:divBdr>
          <w:divsChild>
            <w:div w:id="201340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2029">
      <w:bodyDiv w:val="1"/>
      <w:marLeft w:val="0"/>
      <w:marRight w:val="0"/>
      <w:marTop w:val="0"/>
      <w:marBottom w:val="0"/>
      <w:divBdr>
        <w:top w:val="none" w:sz="0" w:space="0" w:color="auto"/>
        <w:left w:val="none" w:sz="0" w:space="0" w:color="auto"/>
        <w:bottom w:val="none" w:sz="0" w:space="0" w:color="auto"/>
        <w:right w:val="none" w:sz="0" w:space="0" w:color="auto"/>
      </w:divBdr>
      <w:divsChild>
        <w:div w:id="1439105400">
          <w:marLeft w:val="0"/>
          <w:marRight w:val="0"/>
          <w:marTop w:val="0"/>
          <w:marBottom w:val="0"/>
          <w:divBdr>
            <w:top w:val="none" w:sz="0" w:space="0" w:color="auto"/>
            <w:left w:val="none" w:sz="0" w:space="0" w:color="auto"/>
            <w:bottom w:val="none" w:sz="0" w:space="0" w:color="auto"/>
            <w:right w:val="none" w:sz="0" w:space="0" w:color="auto"/>
          </w:divBdr>
          <w:divsChild>
            <w:div w:id="31125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871148">
      <w:bodyDiv w:val="1"/>
      <w:marLeft w:val="0"/>
      <w:marRight w:val="0"/>
      <w:marTop w:val="0"/>
      <w:marBottom w:val="0"/>
      <w:divBdr>
        <w:top w:val="none" w:sz="0" w:space="0" w:color="auto"/>
        <w:left w:val="none" w:sz="0" w:space="0" w:color="auto"/>
        <w:bottom w:val="none" w:sz="0" w:space="0" w:color="auto"/>
        <w:right w:val="none" w:sz="0" w:space="0" w:color="auto"/>
      </w:divBdr>
    </w:div>
    <w:div w:id="1964847366">
      <w:bodyDiv w:val="1"/>
      <w:marLeft w:val="0"/>
      <w:marRight w:val="0"/>
      <w:marTop w:val="0"/>
      <w:marBottom w:val="0"/>
      <w:divBdr>
        <w:top w:val="none" w:sz="0" w:space="0" w:color="auto"/>
        <w:left w:val="none" w:sz="0" w:space="0" w:color="auto"/>
        <w:bottom w:val="none" w:sz="0" w:space="0" w:color="auto"/>
        <w:right w:val="none" w:sz="0" w:space="0" w:color="auto"/>
      </w:divBdr>
      <w:divsChild>
        <w:div w:id="1304194923">
          <w:marLeft w:val="0"/>
          <w:marRight w:val="0"/>
          <w:marTop w:val="0"/>
          <w:marBottom w:val="0"/>
          <w:divBdr>
            <w:top w:val="none" w:sz="0" w:space="0" w:color="auto"/>
            <w:left w:val="none" w:sz="0" w:space="0" w:color="auto"/>
            <w:bottom w:val="none" w:sz="0" w:space="0" w:color="auto"/>
            <w:right w:val="none" w:sz="0" w:space="0" w:color="auto"/>
          </w:divBdr>
          <w:divsChild>
            <w:div w:id="195547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256884">
      <w:bodyDiv w:val="1"/>
      <w:marLeft w:val="0"/>
      <w:marRight w:val="0"/>
      <w:marTop w:val="0"/>
      <w:marBottom w:val="0"/>
      <w:divBdr>
        <w:top w:val="none" w:sz="0" w:space="0" w:color="auto"/>
        <w:left w:val="none" w:sz="0" w:space="0" w:color="auto"/>
        <w:bottom w:val="none" w:sz="0" w:space="0" w:color="auto"/>
        <w:right w:val="none" w:sz="0" w:space="0" w:color="auto"/>
      </w:divBdr>
      <w:divsChild>
        <w:div w:id="1170559618">
          <w:marLeft w:val="0"/>
          <w:marRight w:val="0"/>
          <w:marTop w:val="0"/>
          <w:marBottom w:val="0"/>
          <w:divBdr>
            <w:top w:val="none" w:sz="0" w:space="0" w:color="auto"/>
            <w:left w:val="none" w:sz="0" w:space="0" w:color="auto"/>
            <w:bottom w:val="none" w:sz="0" w:space="0" w:color="auto"/>
            <w:right w:val="none" w:sz="0" w:space="0" w:color="auto"/>
          </w:divBdr>
          <w:divsChild>
            <w:div w:id="7746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91617">
      <w:bodyDiv w:val="1"/>
      <w:marLeft w:val="0"/>
      <w:marRight w:val="0"/>
      <w:marTop w:val="0"/>
      <w:marBottom w:val="0"/>
      <w:divBdr>
        <w:top w:val="none" w:sz="0" w:space="0" w:color="auto"/>
        <w:left w:val="none" w:sz="0" w:space="0" w:color="auto"/>
        <w:bottom w:val="none" w:sz="0" w:space="0" w:color="auto"/>
        <w:right w:val="none" w:sz="0" w:space="0" w:color="auto"/>
      </w:divBdr>
      <w:divsChild>
        <w:div w:id="1586575634">
          <w:marLeft w:val="0"/>
          <w:marRight w:val="0"/>
          <w:marTop w:val="0"/>
          <w:marBottom w:val="0"/>
          <w:divBdr>
            <w:top w:val="none" w:sz="0" w:space="0" w:color="auto"/>
            <w:left w:val="none" w:sz="0" w:space="0" w:color="auto"/>
            <w:bottom w:val="none" w:sz="0" w:space="0" w:color="auto"/>
            <w:right w:val="none" w:sz="0" w:space="0" w:color="auto"/>
          </w:divBdr>
          <w:divsChild>
            <w:div w:id="111005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s\Deputies\Nidal%20Amro\New%20MOI%20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F965C-1A6B-426E-B701-52BE38899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MOI Regular</Template>
  <TotalTime>0</TotalTime>
  <Pages>35</Pages>
  <Words>8390</Words>
  <Characters>47829</Characters>
  <Application>Microsoft Office Word</Application>
  <DocSecurity>0</DocSecurity>
  <Lines>398</Lines>
  <Paragraphs>112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التاريخ:08/09/2013</vt:lpstr>
      <vt:lpstr>التاريخ:08/09/2013</vt:lpstr>
    </vt:vector>
  </TitlesOfParts>
  <Company>home</Company>
  <LinksUpToDate>false</LinksUpToDate>
  <CharactersWithSpaces>56107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التاريخ:08/09/2013</dc:title>
  <dc:creator>tamimi</dc:creator>
  <cp:lastModifiedBy>Haitham Arar</cp:lastModifiedBy>
  <cp:revision>2</cp:revision>
  <cp:lastPrinted>2024-05-26T07:42:00Z</cp:lastPrinted>
  <dcterms:created xsi:type="dcterms:W3CDTF">2024-12-15T07:16:00Z</dcterms:created>
  <dcterms:modified xsi:type="dcterms:W3CDTF">2024-12-15T07:16:00Z</dcterms:modified>
</cp:coreProperties>
</file>